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E80" w:rsidRPr="00874B5B" w:rsidRDefault="00113E80" w:rsidP="00113E80">
      <w:pPr>
        <w:rPr>
          <w:rFonts w:asciiTheme="minorHAnsi" w:hAnsiTheme="minorHAnsi" w:cstheme="minorHAnsi"/>
          <w:sz w:val="20"/>
          <w:lang w:val="es-ES"/>
        </w:rPr>
      </w:pPr>
      <w:r w:rsidRPr="00874B5B">
        <w:rPr>
          <w:rFonts w:asciiTheme="minorHAnsi" w:hAnsiTheme="minorHAnsi" w:cstheme="minorHAnsi"/>
          <w:sz w:val="20"/>
          <w:lang w:val="es-ES"/>
        </w:rPr>
        <w:t>Pilar Alejandra Sáiz</w:t>
      </w:r>
    </w:p>
    <w:p w:rsidR="00113E80" w:rsidRPr="00874B5B" w:rsidRDefault="00113E80" w:rsidP="00113E80">
      <w:pPr>
        <w:rPr>
          <w:rFonts w:asciiTheme="minorHAnsi" w:hAnsiTheme="minorHAnsi" w:cstheme="minorHAnsi"/>
          <w:sz w:val="20"/>
          <w:lang w:val="es-ES"/>
        </w:rPr>
      </w:pPr>
      <w:r w:rsidRPr="00874B5B">
        <w:rPr>
          <w:rFonts w:asciiTheme="minorHAnsi" w:hAnsiTheme="minorHAnsi" w:cstheme="minorHAnsi"/>
          <w:sz w:val="20"/>
          <w:lang w:val="es-ES"/>
        </w:rPr>
        <w:t>Universidad de Oviedo</w:t>
      </w:r>
    </w:p>
    <w:p w:rsidR="00113E80" w:rsidRPr="00874B5B" w:rsidRDefault="00113E80" w:rsidP="00113E80">
      <w:pPr>
        <w:rPr>
          <w:rFonts w:asciiTheme="minorHAnsi" w:hAnsiTheme="minorHAnsi" w:cstheme="minorHAnsi"/>
          <w:sz w:val="20"/>
          <w:lang w:val="es-ES"/>
        </w:rPr>
      </w:pPr>
      <w:r w:rsidRPr="00874B5B">
        <w:rPr>
          <w:rFonts w:asciiTheme="minorHAnsi" w:hAnsiTheme="minorHAnsi" w:cstheme="minorHAnsi"/>
          <w:sz w:val="20"/>
          <w:lang w:val="es-ES"/>
        </w:rPr>
        <w:t xml:space="preserve">Editora </w:t>
      </w:r>
      <w:proofErr w:type="gramStart"/>
      <w:r w:rsidRPr="00874B5B">
        <w:rPr>
          <w:rFonts w:asciiTheme="minorHAnsi" w:hAnsiTheme="minorHAnsi" w:cstheme="minorHAnsi"/>
          <w:sz w:val="20"/>
          <w:lang w:val="es-ES"/>
        </w:rPr>
        <w:t>Jefe</w:t>
      </w:r>
      <w:proofErr w:type="gramEnd"/>
      <w:r w:rsidRPr="00874B5B">
        <w:rPr>
          <w:rFonts w:asciiTheme="minorHAnsi" w:hAnsiTheme="minorHAnsi" w:cstheme="minorHAnsi"/>
          <w:sz w:val="20"/>
          <w:lang w:val="es-ES"/>
        </w:rPr>
        <w:t xml:space="preserve">, Revista </w:t>
      </w:r>
      <w:r w:rsidRPr="00874B5B">
        <w:rPr>
          <w:rFonts w:asciiTheme="minorHAnsi" w:hAnsiTheme="minorHAnsi" w:cstheme="minorHAnsi"/>
          <w:i/>
          <w:sz w:val="20"/>
          <w:lang w:val="es-ES"/>
        </w:rPr>
        <w:t>Adicciones</w:t>
      </w:r>
    </w:p>
    <w:p w:rsidR="00113E80" w:rsidRPr="00874B5B" w:rsidRDefault="00113E80" w:rsidP="00113E80">
      <w:pPr>
        <w:jc w:val="right"/>
        <w:rPr>
          <w:rFonts w:asciiTheme="minorHAnsi" w:hAnsiTheme="minorHAnsi" w:cstheme="minorHAnsi"/>
          <w:sz w:val="20"/>
          <w:lang w:val="es-ES"/>
        </w:rPr>
      </w:pPr>
      <w:r w:rsidRPr="00874B5B">
        <w:rPr>
          <w:rFonts w:asciiTheme="minorHAnsi" w:hAnsiTheme="minorHAnsi" w:cstheme="minorHAnsi"/>
          <w:sz w:val="20"/>
          <w:lang w:val="es-ES"/>
        </w:rPr>
        <w:t>Salamanca, 8 de mayo de 2019</w:t>
      </w:r>
    </w:p>
    <w:p w:rsidR="00113E80" w:rsidRPr="00874B5B" w:rsidRDefault="00113E80" w:rsidP="00113E80">
      <w:pPr>
        <w:rPr>
          <w:rFonts w:asciiTheme="minorHAnsi" w:hAnsiTheme="minorHAnsi" w:cstheme="minorHAnsi"/>
          <w:sz w:val="20"/>
          <w:lang w:val="es-ES"/>
        </w:rPr>
      </w:pPr>
      <w:r w:rsidRPr="00874B5B">
        <w:rPr>
          <w:rFonts w:asciiTheme="minorHAnsi" w:hAnsiTheme="minorHAnsi" w:cstheme="minorHAnsi"/>
          <w:sz w:val="20"/>
          <w:lang w:val="es-ES"/>
        </w:rPr>
        <w:t>Estimada editora,</w:t>
      </w:r>
    </w:p>
    <w:p w:rsidR="00113E80" w:rsidRPr="00874B5B" w:rsidRDefault="00113E80" w:rsidP="00113E80">
      <w:pPr>
        <w:rPr>
          <w:rFonts w:asciiTheme="minorHAnsi" w:hAnsiTheme="minorHAnsi" w:cstheme="minorHAnsi"/>
          <w:sz w:val="20"/>
          <w:lang w:val="es-ES"/>
        </w:rPr>
      </w:pPr>
    </w:p>
    <w:p w:rsidR="006C708D" w:rsidRPr="00874B5B" w:rsidRDefault="00113E80" w:rsidP="00874B5B">
      <w:pPr>
        <w:ind w:firstLine="708"/>
        <w:rPr>
          <w:rFonts w:asciiTheme="minorHAnsi" w:hAnsiTheme="minorHAnsi" w:cstheme="minorHAnsi"/>
          <w:sz w:val="20"/>
          <w:lang w:val="es-ES"/>
        </w:rPr>
      </w:pPr>
      <w:r w:rsidRPr="00874B5B">
        <w:rPr>
          <w:rFonts w:asciiTheme="minorHAnsi" w:hAnsiTheme="minorHAnsi" w:cstheme="minorHAnsi"/>
          <w:sz w:val="20"/>
          <w:lang w:val="es-ES"/>
        </w:rPr>
        <w:t xml:space="preserve">Por medio de la presente enviamos para su consideración el manuscrito </w:t>
      </w:r>
      <w:r w:rsidR="00874B5B">
        <w:rPr>
          <w:rFonts w:asciiTheme="minorHAnsi" w:hAnsiTheme="minorHAnsi" w:cstheme="minorHAnsi"/>
          <w:sz w:val="20"/>
          <w:lang w:val="es-ES"/>
        </w:rPr>
        <w:t xml:space="preserve">(en modalidad “artículo original”) </w:t>
      </w:r>
      <w:r w:rsidRPr="00874B5B">
        <w:rPr>
          <w:rFonts w:asciiTheme="minorHAnsi" w:hAnsiTheme="minorHAnsi" w:cstheme="minorHAnsi"/>
          <w:sz w:val="20"/>
          <w:lang w:val="es-ES"/>
        </w:rPr>
        <w:t>titulado “</w:t>
      </w:r>
      <w:r w:rsidRPr="00874B5B">
        <w:rPr>
          <w:rFonts w:asciiTheme="minorHAnsi" w:hAnsiTheme="minorHAnsi" w:cstheme="minorHAnsi"/>
          <w:i/>
          <w:sz w:val="20"/>
          <w:lang w:val="es-ES"/>
        </w:rPr>
        <w:t>Prevención del tabaquismo con mensajes narrativos. Efecto conjunto de la similitud con el protagonista y la voz narrativa</w:t>
      </w:r>
      <w:r w:rsidRPr="00874B5B">
        <w:rPr>
          <w:rFonts w:asciiTheme="minorHAnsi" w:hAnsiTheme="minorHAnsi" w:cstheme="minorHAnsi"/>
          <w:sz w:val="20"/>
          <w:lang w:val="es-ES"/>
        </w:rPr>
        <w:t xml:space="preserve">”, que ha sido elaborador por un equipo de investigación formado por Juan José Igartua, Laura Rodríguez-Contreras, María Marcos-Ramos, Beatriz González de Garay y Francisco </w:t>
      </w:r>
      <w:r w:rsidR="006C708D" w:rsidRPr="00874B5B">
        <w:rPr>
          <w:rFonts w:asciiTheme="minorHAnsi" w:hAnsiTheme="minorHAnsi" w:cstheme="minorHAnsi"/>
          <w:sz w:val="20"/>
          <w:lang w:val="es-ES"/>
        </w:rPr>
        <w:t>Javier</w:t>
      </w:r>
      <w:r w:rsidRPr="00874B5B">
        <w:rPr>
          <w:rFonts w:asciiTheme="minorHAnsi" w:hAnsiTheme="minorHAnsi" w:cstheme="minorHAnsi"/>
          <w:sz w:val="20"/>
          <w:lang w:val="es-ES"/>
        </w:rPr>
        <w:t xml:space="preserve"> Frutos. Dicho trabajo de investigación ha sido desarrollado en el marco del proyecto de investigación titulado “</w:t>
      </w:r>
      <w:r w:rsidRPr="00874B5B">
        <w:rPr>
          <w:rFonts w:asciiTheme="minorHAnsi" w:hAnsiTheme="minorHAnsi" w:cstheme="minorHAnsi"/>
          <w:i/>
          <w:sz w:val="20"/>
          <w:lang w:val="es-ES"/>
        </w:rPr>
        <w:t>Si tú quieres, puedes dejarlo. Herramientas narrativas para la prevención del tabaquismo en fumadores adultos. Efectos de la similitud con la audiencia y la voz narrativa</w:t>
      </w:r>
      <w:r w:rsidRPr="00874B5B">
        <w:rPr>
          <w:rFonts w:asciiTheme="minorHAnsi" w:hAnsiTheme="minorHAnsi" w:cstheme="minorHAnsi"/>
          <w:sz w:val="20"/>
          <w:lang w:val="es-ES"/>
        </w:rPr>
        <w:t>”, financiado por la Consejería de Educación de la Junta de Castilla y León (referencia nº SA032G18), del cual soy Investigador Principa</w:t>
      </w:r>
      <w:r w:rsidR="006C708D" w:rsidRPr="00874B5B">
        <w:rPr>
          <w:rFonts w:asciiTheme="minorHAnsi" w:hAnsiTheme="minorHAnsi" w:cstheme="minorHAnsi"/>
          <w:sz w:val="20"/>
          <w:lang w:val="es-ES"/>
        </w:rPr>
        <w:t>l</w:t>
      </w:r>
      <w:r w:rsidRPr="00874B5B">
        <w:rPr>
          <w:rFonts w:asciiTheme="minorHAnsi" w:hAnsiTheme="minorHAnsi" w:cstheme="minorHAnsi"/>
          <w:sz w:val="20"/>
          <w:lang w:val="es-ES"/>
        </w:rPr>
        <w:t>.</w:t>
      </w:r>
      <w:r w:rsidR="00874B5B">
        <w:rPr>
          <w:rFonts w:asciiTheme="minorHAnsi" w:hAnsiTheme="minorHAnsi" w:cstheme="minorHAnsi"/>
          <w:sz w:val="20"/>
          <w:lang w:val="es-ES"/>
        </w:rPr>
        <w:t xml:space="preserve"> </w:t>
      </w:r>
      <w:r w:rsidRPr="00874B5B">
        <w:rPr>
          <w:rFonts w:asciiTheme="minorHAnsi" w:hAnsiTheme="minorHAnsi" w:cstheme="minorHAnsi"/>
          <w:sz w:val="20"/>
          <w:lang w:val="es-ES"/>
        </w:rPr>
        <w:t>Por medio de la presente, le comunicamos como autores que</w:t>
      </w:r>
      <w:r w:rsidR="006C708D" w:rsidRPr="00874B5B">
        <w:rPr>
          <w:rFonts w:asciiTheme="minorHAnsi" w:hAnsiTheme="minorHAnsi" w:cstheme="minorHAnsi"/>
          <w:sz w:val="20"/>
          <w:lang w:val="es-ES"/>
        </w:rPr>
        <w:t>:</w:t>
      </w:r>
    </w:p>
    <w:p w:rsidR="00874B5B" w:rsidRPr="00874B5B" w:rsidRDefault="00874B5B" w:rsidP="00874B5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lang w:val="es-ES"/>
        </w:rPr>
      </w:pPr>
      <w:r w:rsidRPr="00874B5B">
        <w:rPr>
          <w:rFonts w:asciiTheme="minorHAnsi" w:hAnsiTheme="minorHAnsi" w:cstheme="minorHAnsi"/>
          <w:sz w:val="20"/>
          <w:lang w:val="es-ES"/>
        </w:rPr>
        <w:t xml:space="preserve">El manuscrito se ha elaborado teniendo en cuenta las normas de Publicación de la </w:t>
      </w:r>
      <w:r w:rsidRPr="00874B5B">
        <w:rPr>
          <w:rFonts w:asciiTheme="minorHAnsi" w:hAnsiTheme="minorHAnsi" w:cstheme="minorHAnsi"/>
          <w:i/>
          <w:sz w:val="20"/>
          <w:lang w:val="es-ES"/>
        </w:rPr>
        <w:t>American Psychological Association</w:t>
      </w:r>
      <w:r w:rsidRPr="00874B5B">
        <w:rPr>
          <w:rFonts w:asciiTheme="minorHAnsi" w:hAnsiTheme="minorHAnsi" w:cstheme="minorHAnsi"/>
          <w:sz w:val="20"/>
          <w:lang w:val="es-ES"/>
        </w:rPr>
        <w:t xml:space="preserve"> (6ª edición, 2010; </w:t>
      </w:r>
      <w:hyperlink r:id="rId7" w:history="1">
        <w:r w:rsidRPr="00874B5B">
          <w:rPr>
            <w:rStyle w:val="Hipervnculo"/>
            <w:rFonts w:asciiTheme="minorHAnsi" w:hAnsiTheme="minorHAnsi" w:cstheme="minorHAnsi"/>
            <w:sz w:val="20"/>
            <w:lang w:val="es-ES"/>
          </w:rPr>
          <w:t>http://www.apastyle.org</w:t>
        </w:r>
      </w:hyperlink>
      <w:r w:rsidRPr="00874B5B">
        <w:rPr>
          <w:rFonts w:asciiTheme="minorHAnsi" w:hAnsiTheme="minorHAnsi" w:cstheme="minorHAnsi"/>
          <w:sz w:val="20"/>
          <w:lang w:val="es-ES"/>
        </w:rPr>
        <w:t xml:space="preserve">), y las normas específicas de la revista Adicciones en cuanto a la </w:t>
      </w:r>
      <w:r w:rsidRPr="00874B5B">
        <w:rPr>
          <w:rFonts w:asciiTheme="minorHAnsi" w:hAnsiTheme="minorHAnsi" w:cstheme="minorHAnsi"/>
          <w:i/>
          <w:sz w:val="20"/>
          <w:lang w:val="es-ES"/>
        </w:rPr>
        <w:t>preparación de manuscritos</w:t>
      </w:r>
      <w:r w:rsidRPr="00874B5B">
        <w:rPr>
          <w:rFonts w:asciiTheme="minorHAnsi" w:hAnsiTheme="minorHAnsi" w:cstheme="minorHAnsi"/>
          <w:sz w:val="20"/>
          <w:lang w:val="es-ES"/>
        </w:rPr>
        <w:t xml:space="preserve"> (que figuran en la web de la revista).</w:t>
      </w:r>
    </w:p>
    <w:p w:rsidR="00A16A8A" w:rsidRPr="00874B5B" w:rsidRDefault="00A16A8A" w:rsidP="006C708D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color w:val="111111"/>
          <w:sz w:val="20"/>
          <w:lang w:val="es-ES" w:eastAsia="es-ES_tradnl"/>
        </w:rPr>
      </w:pPr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El manuscrito es original y no ha sido previamente publicado, completo o en parte, ni está siendo considerado para su publicación en otra revista.</w:t>
      </w:r>
    </w:p>
    <w:p w:rsidR="00A16A8A" w:rsidRPr="00874B5B" w:rsidRDefault="00A16A8A" w:rsidP="006C708D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color w:val="111111"/>
          <w:sz w:val="20"/>
          <w:lang w:val="es-ES" w:eastAsia="es-ES_tradnl"/>
        </w:rPr>
      </w:pPr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 xml:space="preserve">El manuscrito ha sido realizado, leído y aprobado por los autores tal como se envía el mismo, y que la autoría </w:t>
      </w:r>
      <w:proofErr w:type="gramStart"/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le</w:t>
      </w:r>
      <w:proofErr w:type="gramEnd"/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 xml:space="preserve"> corresponde a todos los firmantes.</w:t>
      </w:r>
    </w:p>
    <w:p w:rsidR="00A16A8A" w:rsidRPr="00874B5B" w:rsidRDefault="00A16A8A" w:rsidP="006C708D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color w:val="111111"/>
          <w:sz w:val="20"/>
          <w:lang w:val="es-ES" w:eastAsia="es-ES_tradnl"/>
        </w:rPr>
      </w:pPr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Se han cumplido todos los principios éticos en relación a la protección de las personas o de los pacientes, o de los animales, cuando se trate de experimentación animal.</w:t>
      </w:r>
    </w:p>
    <w:p w:rsidR="00A16A8A" w:rsidRPr="00874B5B" w:rsidRDefault="00A16A8A" w:rsidP="006C708D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color w:val="111111"/>
          <w:sz w:val="20"/>
          <w:lang w:val="es-ES" w:eastAsia="es-ES_tradnl"/>
        </w:rPr>
      </w:pPr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La correspondencia referente al manuscrito remitido para su publicación se realizará con el autor de correspondencia del que se indicará el nombre, dirección, teléfono y correo electrónico y que éste se encargará a su vez de ponerse en contacto con el resto de los autores para la revisión y aprobación final del artículo.</w:t>
      </w:r>
    </w:p>
    <w:p w:rsidR="00874B5B" w:rsidRPr="00874B5B" w:rsidRDefault="00A16A8A" w:rsidP="00874B5B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color w:val="111111"/>
          <w:sz w:val="20"/>
          <w:lang w:val="es-ES" w:eastAsia="es-ES_tradnl"/>
        </w:rPr>
      </w:pPr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 xml:space="preserve">Se transfieren los derechos de copyright del artículo a la revista Adicciones en caso de ser publicado el mismo en la revista </w:t>
      </w:r>
      <w:r w:rsidRPr="00874B5B">
        <w:rPr>
          <w:rFonts w:asciiTheme="minorHAnsi" w:hAnsiTheme="minorHAnsi" w:cstheme="minorHAnsi"/>
          <w:i/>
          <w:color w:val="111111"/>
          <w:sz w:val="20"/>
          <w:lang w:val="es-ES" w:eastAsia="es-ES_tradnl"/>
        </w:rPr>
        <w:t>Adicciones</w:t>
      </w:r>
      <w:r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.</w:t>
      </w:r>
      <w:r w:rsid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 xml:space="preserve"> Además</w:t>
      </w:r>
      <w:bookmarkStart w:id="0" w:name="_GoBack"/>
      <w:bookmarkEnd w:id="0"/>
      <w:r w:rsidR="00874B5B"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, somos conscientes de que la eventual publicaci</w:t>
      </w:r>
      <w:r w:rsidR="00874B5B" w:rsidRPr="00874B5B">
        <w:rPr>
          <w:rFonts w:asciiTheme="minorHAnsi" w:hAnsiTheme="minorHAnsi" w:cstheme="minorHAnsi" w:hint="eastAsia"/>
          <w:color w:val="111111"/>
          <w:sz w:val="20"/>
          <w:lang w:val="es-ES" w:eastAsia="es-ES_tradnl"/>
        </w:rPr>
        <w:t>ó</w:t>
      </w:r>
      <w:r w:rsidR="00874B5B"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n de nuestro trabajo estará sujeta al pago de 50</w:t>
      </w:r>
      <w:r w:rsidR="00874B5B" w:rsidRPr="00874B5B">
        <w:rPr>
          <w:rFonts w:asciiTheme="minorHAnsi" w:hAnsiTheme="minorHAnsi" w:cstheme="minorHAnsi" w:hint="eastAsia"/>
          <w:color w:val="111111"/>
          <w:sz w:val="20"/>
          <w:lang w:val="es-ES" w:eastAsia="es-ES_tradnl"/>
        </w:rPr>
        <w:t>€</w:t>
      </w:r>
      <w:r w:rsidR="00874B5B"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 xml:space="preserve"> (IVA incluido) por p</w:t>
      </w:r>
      <w:r w:rsidR="00874B5B" w:rsidRPr="00874B5B">
        <w:rPr>
          <w:rFonts w:asciiTheme="minorHAnsi" w:hAnsiTheme="minorHAnsi" w:cstheme="minorHAnsi" w:hint="eastAsia"/>
          <w:color w:val="111111"/>
          <w:sz w:val="20"/>
          <w:lang w:val="es-ES" w:eastAsia="es-ES_tradnl"/>
        </w:rPr>
        <w:t>á</w:t>
      </w:r>
      <w:r w:rsidR="00874B5B" w:rsidRPr="00874B5B">
        <w:rPr>
          <w:rFonts w:asciiTheme="minorHAnsi" w:hAnsiTheme="minorHAnsi" w:cstheme="minorHAnsi"/>
          <w:color w:val="111111"/>
          <w:sz w:val="20"/>
          <w:lang w:val="es-ES" w:eastAsia="es-ES_tradnl"/>
        </w:rPr>
        <w:t>gina impresa, coste que podemos asumir al formar parte de un proyecto financiado.</w:t>
      </w:r>
    </w:p>
    <w:p w:rsidR="006C708D" w:rsidRDefault="006C708D" w:rsidP="006C708D">
      <w:pPr>
        <w:rPr>
          <w:rFonts w:ascii="Helvetica" w:hAnsi="Helvetica"/>
          <w:color w:val="111111"/>
          <w:lang w:val="es-ES" w:eastAsia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3"/>
        <w:gridCol w:w="1418"/>
        <w:gridCol w:w="1792"/>
        <w:gridCol w:w="2769"/>
      </w:tblGrid>
      <w:tr w:rsidR="006C708D" w:rsidRPr="006C708D" w:rsidTr="006C708D">
        <w:trPr>
          <w:jc w:val="center"/>
        </w:trPr>
        <w:tc>
          <w:tcPr>
            <w:tcW w:w="2663" w:type="dxa"/>
          </w:tcPr>
          <w:p w:rsidR="006C708D" w:rsidRPr="006C708D" w:rsidRDefault="006C708D" w:rsidP="006C708D">
            <w:pPr>
              <w:jc w:val="center"/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 w:rsidRPr="006C708D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val="es-ES" w:eastAsia="es-ES_tradnl"/>
              </w:rPr>
              <w:drawing>
                <wp:inline distT="0" distB="0" distL="0" distR="0">
                  <wp:extent cx="1554157" cy="971949"/>
                  <wp:effectExtent l="0" t="0" r="0" b="635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irma Juanjo Igartu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706" cy="98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08D" w:rsidRP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 w:rsidRPr="006C708D"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  <w:t>Fdo</w:t>
            </w:r>
            <w: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  <w:t>.: Juan-José Igartua</w:t>
            </w:r>
          </w:p>
        </w:tc>
        <w:tc>
          <w:tcPr>
            <w:tcW w:w="3210" w:type="dxa"/>
            <w:gridSpan w:val="2"/>
          </w:tcPr>
          <w:p w:rsidR="006C708D" w:rsidRP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 w:rsidRPr="006C708D">
              <w:rPr>
                <w:rFonts w:asciiTheme="minorHAnsi" w:hAnsiTheme="minorHAnsi" w:cstheme="minorHAnsi"/>
                <w:noProof/>
                <w:sz w:val="22"/>
                <w:szCs w:val="22"/>
                <w:lang w:eastAsia="es-ES_tradnl"/>
              </w:rPr>
              <w:drawing>
                <wp:anchor distT="0" distB="0" distL="114300" distR="114300" simplePos="0" relativeHeight="251681792" behindDoc="1" locked="0" layoutInCell="1" allowOverlap="1" wp14:anchorId="5D9AB3FD" wp14:editId="12F7DDA2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95943</wp:posOffset>
                  </wp:positionV>
                  <wp:extent cx="1549400" cy="798830"/>
                  <wp:effectExtent l="0" t="0" r="0" b="1270"/>
                  <wp:wrapTight wrapText="bothSides">
                    <wp:wrapPolygon edited="0">
                      <wp:start x="0" y="0"/>
                      <wp:lineTo x="0" y="21291"/>
                      <wp:lineTo x="21423" y="21291"/>
                      <wp:lineTo x="21423" y="0"/>
                      <wp:lineTo x="0" y="0"/>
                    </wp:wrapPolygon>
                  </wp:wrapTight>
                  <wp:docPr id="8" name="Imagen 8" descr="Imagen que contiene juego atlét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unname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  <w:t>Fdo.: Laura Rodríguez-Contreras</w:t>
            </w:r>
          </w:p>
        </w:tc>
        <w:tc>
          <w:tcPr>
            <w:tcW w:w="2769" w:type="dxa"/>
          </w:tcPr>
          <w:p w:rsidR="006C708D" w:rsidRP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 w:rsidRPr="006C708D">
              <w:rPr>
                <w:rFonts w:asciiTheme="minorHAnsi" w:hAnsiTheme="minorHAnsi" w:cstheme="minorHAnsi"/>
                <w:noProof/>
                <w:sz w:val="22"/>
                <w:szCs w:val="22"/>
                <w:lang w:eastAsia="es-ES_tradnl"/>
              </w:rPr>
              <w:drawing>
                <wp:anchor distT="0" distB="0" distL="114300" distR="114300" simplePos="0" relativeHeight="251683840" behindDoc="0" locked="0" layoutInCell="1" allowOverlap="1" wp14:anchorId="26C92473" wp14:editId="0D88167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146685</wp:posOffset>
                  </wp:positionV>
                  <wp:extent cx="1534160" cy="748665"/>
                  <wp:effectExtent l="0" t="0" r="2540" b="635"/>
                  <wp:wrapTight wrapText="bothSides">
                    <wp:wrapPolygon edited="0">
                      <wp:start x="0" y="0"/>
                      <wp:lineTo x="0" y="21252"/>
                      <wp:lineTo x="21457" y="21252"/>
                      <wp:lineTo x="21457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rmaMaría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  <w:t>Fdo.: María Marcos-Ramos</w:t>
            </w:r>
          </w:p>
        </w:tc>
      </w:tr>
      <w:tr w:rsidR="006C708D" w:rsidRPr="006C708D" w:rsidTr="006C708D">
        <w:trPr>
          <w:trHeight w:val="1587"/>
          <w:jc w:val="center"/>
        </w:trPr>
        <w:tc>
          <w:tcPr>
            <w:tcW w:w="4081" w:type="dxa"/>
            <w:gridSpan w:val="2"/>
          </w:tcPr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 w:rsidRPr="006C708D">
              <w:rPr>
                <w:rFonts w:asciiTheme="minorHAnsi" w:hAnsiTheme="minorHAnsi" w:cstheme="minorHAnsi"/>
                <w:noProof/>
                <w:sz w:val="22"/>
                <w:szCs w:val="22"/>
                <w:lang w:eastAsia="es-ES_tradnl"/>
              </w:rPr>
              <w:drawing>
                <wp:anchor distT="0" distB="0" distL="114300" distR="114300" simplePos="0" relativeHeight="251685888" behindDoc="0" locked="0" layoutInCell="1" allowOverlap="1" wp14:anchorId="104A42F2" wp14:editId="0BF6EE9F">
                  <wp:simplePos x="0" y="0"/>
                  <wp:positionH relativeFrom="column">
                    <wp:posOffset>473231</wp:posOffset>
                  </wp:positionH>
                  <wp:positionV relativeFrom="page">
                    <wp:posOffset>5035</wp:posOffset>
                  </wp:positionV>
                  <wp:extent cx="1637665" cy="1003935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Pr="006C708D" w:rsidRDefault="006C708D" w:rsidP="0016363C">
            <w:pPr>
              <w:jc w:val="center"/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  <w:t>Fdo.: Beatriz González de Garay</w:t>
            </w:r>
          </w:p>
        </w:tc>
        <w:tc>
          <w:tcPr>
            <w:tcW w:w="4561" w:type="dxa"/>
            <w:gridSpan w:val="2"/>
          </w:tcPr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 w:rsidRPr="006C708D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drawing>
                <wp:anchor distT="0" distB="0" distL="114300" distR="114300" simplePos="0" relativeHeight="251687936" behindDoc="1" locked="0" layoutInCell="1" allowOverlap="1" wp14:anchorId="094F7CB0" wp14:editId="496F330B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14605</wp:posOffset>
                  </wp:positionV>
                  <wp:extent cx="1188720" cy="793750"/>
                  <wp:effectExtent l="0" t="0" r="5080" b="6350"/>
                  <wp:wrapTight wrapText="bothSides">
                    <wp:wrapPolygon edited="0">
                      <wp:start x="0" y="0"/>
                      <wp:lineTo x="0" y="21427"/>
                      <wp:lineTo x="21462" y="21427"/>
                      <wp:lineTo x="21462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rma Frutos bue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Default="006C708D" w:rsidP="006C708D">
            <w:pP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</w:p>
          <w:p w:rsidR="006C708D" w:rsidRPr="006C708D" w:rsidRDefault="006C708D" w:rsidP="0016363C">
            <w:pPr>
              <w:jc w:val="center"/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</w:pPr>
            <w:r>
              <w:rPr>
                <w:rFonts w:asciiTheme="minorHAnsi" w:hAnsiTheme="minorHAnsi" w:cstheme="minorHAnsi"/>
                <w:color w:val="111111"/>
                <w:sz w:val="22"/>
                <w:szCs w:val="22"/>
                <w:lang w:val="es-ES" w:eastAsia="es-ES_tradnl"/>
              </w:rPr>
              <w:t>Fdo.: Francisco Javier Frutos</w:t>
            </w:r>
          </w:p>
        </w:tc>
      </w:tr>
    </w:tbl>
    <w:p w:rsidR="009A6751" w:rsidRPr="006C708D" w:rsidRDefault="009A6751" w:rsidP="00D37C72">
      <w:pPr>
        <w:rPr>
          <w:sz w:val="20"/>
          <w:lang w:val="es-ES"/>
        </w:rPr>
      </w:pPr>
    </w:p>
    <w:sectPr w:rsidR="009A6751" w:rsidRPr="006C708D" w:rsidSect="006F163B">
      <w:headerReference w:type="default" r:id="rId13"/>
      <w:footerReference w:type="default" r:id="rId14"/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F6D" w:rsidRDefault="00004F6D">
      <w:r>
        <w:separator/>
      </w:r>
    </w:p>
  </w:endnote>
  <w:endnote w:type="continuationSeparator" w:id="0">
    <w:p w:rsidR="00004F6D" w:rsidRDefault="0000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63B" w:rsidRPr="006F163B" w:rsidRDefault="006F163B" w:rsidP="00F1236C">
    <w:pPr>
      <w:ind w:left="-284" w:right="-285"/>
      <w:jc w:val="center"/>
      <w:rPr>
        <w:rFonts w:ascii="Arial Narrow" w:hAnsi="Arial Narrow"/>
        <w:sz w:val="20"/>
        <w:lang w:val="en-GB"/>
      </w:rPr>
    </w:pPr>
    <w:r w:rsidRPr="006F163B">
      <w:rPr>
        <w:rFonts w:ascii="Arial Narrow" w:hAnsi="Arial Narrow"/>
        <w:sz w:val="20"/>
      </w:rPr>
      <w:t xml:space="preserve">Campus Unamuno (Edificio FES). </w:t>
    </w:r>
    <w:r w:rsidR="00F1236C">
      <w:rPr>
        <w:rFonts w:ascii="Arial Narrow" w:hAnsi="Arial Narrow"/>
        <w:sz w:val="20"/>
      </w:rPr>
      <w:t>37</w:t>
    </w:r>
    <w:r w:rsidRPr="006F163B">
      <w:rPr>
        <w:rFonts w:ascii="Arial Narrow" w:hAnsi="Arial Narrow"/>
        <w:sz w:val="20"/>
      </w:rPr>
      <w:t xml:space="preserve">007-Salamanca. </w:t>
    </w:r>
    <w:proofErr w:type="spellStart"/>
    <w:r w:rsidRPr="00A16A8A">
      <w:rPr>
        <w:rFonts w:ascii="Arial Narrow" w:hAnsi="Arial Narrow"/>
        <w:sz w:val="20"/>
        <w:lang w:val="en-US"/>
      </w:rPr>
      <w:t>Telf</w:t>
    </w:r>
    <w:proofErr w:type="spellEnd"/>
    <w:r w:rsidRPr="00A16A8A">
      <w:rPr>
        <w:rFonts w:ascii="Arial Narrow" w:hAnsi="Arial Narrow"/>
        <w:sz w:val="20"/>
        <w:lang w:val="en-US"/>
      </w:rPr>
      <w:t xml:space="preserve">.: (923) 294640 (ext. 3111). </w:t>
    </w:r>
    <w:r w:rsidRPr="006F163B">
      <w:rPr>
        <w:rFonts w:ascii="Arial Narrow" w:hAnsi="Arial Narrow"/>
        <w:sz w:val="20"/>
        <w:lang w:val="en-GB"/>
      </w:rPr>
      <w:t>Fax: (923) 294573. E-mail: jigartua@usal.es</w:t>
    </w:r>
  </w:p>
  <w:p w:rsidR="006F163B" w:rsidRPr="00A16A8A" w:rsidRDefault="006F163B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F6D" w:rsidRDefault="00004F6D">
      <w:r>
        <w:separator/>
      </w:r>
    </w:p>
  </w:footnote>
  <w:footnote w:type="continuationSeparator" w:id="0">
    <w:p w:rsidR="00004F6D" w:rsidRDefault="0000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261" w:rsidRDefault="00AD2261">
    <w:pPr>
      <w:jc w:val="left"/>
    </w:pPr>
  </w:p>
  <w:tbl>
    <w:tblPr>
      <w:tblW w:w="9072" w:type="dxa"/>
      <w:tblInd w:w="108" w:type="dxa"/>
      <w:tblLayout w:type="fixed"/>
      <w:tblLook w:val="01E0" w:firstRow="1" w:lastRow="1" w:firstColumn="1" w:lastColumn="1" w:noHBand="0" w:noVBand="0"/>
    </w:tblPr>
    <w:tblGrid>
      <w:gridCol w:w="3544"/>
      <w:gridCol w:w="2835"/>
      <w:gridCol w:w="2693"/>
    </w:tblGrid>
    <w:tr w:rsidR="00B81732" w:rsidTr="000C719A">
      <w:tc>
        <w:tcPr>
          <w:tcW w:w="3544" w:type="dxa"/>
          <w:shd w:val="clear" w:color="auto" w:fill="auto"/>
        </w:tcPr>
        <w:p w:rsidR="006F163B" w:rsidRDefault="006F163B" w:rsidP="000C719A">
          <w:pPr>
            <w:ind w:right="5385"/>
            <w:jc w:val="center"/>
          </w:pPr>
        </w:p>
        <w:p w:rsidR="006F163B" w:rsidRPr="000C719A" w:rsidRDefault="00A16A8A" w:rsidP="000C719A">
          <w:pPr>
            <w:ind w:left="-108" w:right="-92"/>
            <w:jc w:val="center"/>
            <w:rPr>
              <w:rFonts w:ascii="Arial Narrow" w:hAnsi="Arial Narrow"/>
              <w:sz w:val="20"/>
            </w:rPr>
          </w:pPr>
          <w:r>
            <w:rPr>
              <w:noProof/>
              <w:lang w:eastAsia="es-ES_tradnl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2237105" cy="678180"/>
                <wp:effectExtent l="0" t="0" r="0" b="0"/>
                <wp:wrapThrough wrapText="bothSides">
                  <wp:wrapPolygon edited="0">
                    <wp:start x="2207" y="0"/>
                    <wp:lineTo x="1226" y="2022"/>
                    <wp:lineTo x="368" y="5663"/>
                    <wp:lineTo x="123" y="7685"/>
                    <wp:lineTo x="0" y="10517"/>
                    <wp:lineTo x="0" y="14157"/>
                    <wp:lineTo x="1471" y="19820"/>
                    <wp:lineTo x="2330" y="21034"/>
                    <wp:lineTo x="4292" y="21034"/>
                    <wp:lineTo x="21459" y="20629"/>
                    <wp:lineTo x="21459" y="9708"/>
                    <wp:lineTo x="20478" y="8494"/>
                    <wp:lineTo x="15696" y="6876"/>
                    <wp:lineTo x="21214" y="6876"/>
                    <wp:lineTo x="20846" y="809"/>
                    <wp:lineTo x="4414" y="0"/>
                    <wp:lineTo x="2207" y="0"/>
                  </wp:wrapPolygon>
                </wp:wrapThrough>
                <wp:docPr id="5" name="Imagen 5" descr="Logo_Usal_Hor_2011-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Usal_Hor_2011-0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710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shd w:val="clear" w:color="auto" w:fill="auto"/>
        </w:tcPr>
        <w:p w:rsidR="006F163B" w:rsidRPr="000C719A" w:rsidRDefault="006F163B" w:rsidP="001D5616">
          <w:pPr>
            <w:ind w:right="3684"/>
            <w:rPr>
              <w:lang w:val="es-ES"/>
            </w:rPr>
          </w:pPr>
        </w:p>
      </w:tc>
      <w:tc>
        <w:tcPr>
          <w:tcW w:w="2693" w:type="dxa"/>
          <w:shd w:val="clear" w:color="auto" w:fill="auto"/>
        </w:tcPr>
        <w:p w:rsidR="000C57A8" w:rsidRDefault="00A16A8A" w:rsidP="000C719A">
          <w:pPr>
            <w:ind w:right="5152"/>
            <w:jc w:val="right"/>
          </w:pPr>
          <w:r w:rsidRPr="00565969">
            <w:rPr>
              <w:noProof/>
            </w:rPr>
            <w:drawing>
              <wp:inline distT="0" distB="0" distL="0" distR="0">
                <wp:extent cx="1675130" cy="1221105"/>
                <wp:effectExtent l="0" t="0" r="0" b="0"/>
                <wp:docPr id="1" name="Imagen 1" descr="Nuevo_Logo_OCA_300_alfa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_Logo_OCA_300_alfapn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5130" cy="122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F163B" w:rsidRDefault="00004F6D" w:rsidP="000C719A">
          <w:pPr>
            <w:jc w:val="center"/>
          </w:pPr>
          <w:hyperlink r:id="rId3" w:history="1">
            <w:r w:rsidR="000C57A8" w:rsidRPr="007104CE">
              <w:rPr>
                <w:rStyle w:val="Hipervnculo"/>
              </w:rPr>
              <w:t>www.ocausal.es</w:t>
            </w:r>
          </w:hyperlink>
        </w:p>
        <w:p w:rsidR="000C57A8" w:rsidRPr="000C57A8" w:rsidRDefault="000C57A8" w:rsidP="000C719A">
          <w:pPr>
            <w:jc w:val="center"/>
          </w:pPr>
        </w:p>
      </w:tc>
    </w:tr>
  </w:tbl>
  <w:p w:rsidR="00263FF7" w:rsidRDefault="00263F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7AD"/>
    <w:multiLevelType w:val="multilevel"/>
    <w:tmpl w:val="3000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AD"/>
    <w:rsid w:val="00004F6D"/>
    <w:rsid w:val="000C57A8"/>
    <w:rsid w:val="000C719A"/>
    <w:rsid w:val="00113E80"/>
    <w:rsid w:val="0016363C"/>
    <w:rsid w:val="001A30F3"/>
    <w:rsid w:val="001D5616"/>
    <w:rsid w:val="00255BAE"/>
    <w:rsid w:val="00263FF7"/>
    <w:rsid w:val="0027516C"/>
    <w:rsid w:val="00475520"/>
    <w:rsid w:val="00565969"/>
    <w:rsid w:val="006A646C"/>
    <w:rsid w:val="006C708D"/>
    <w:rsid w:val="006F163B"/>
    <w:rsid w:val="006F68D4"/>
    <w:rsid w:val="007B345C"/>
    <w:rsid w:val="007D262B"/>
    <w:rsid w:val="00801FAD"/>
    <w:rsid w:val="00874B5B"/>
    <w:rsid w:val="00994402"/>
    <w:rsid w:val="009A6751"/>
    <w:rsid w:val="00A16A8A"/>
    <w:rsid w:val="00AA5434"/>
    <w:rsid w:val="00AB287B"/>
    <w:rsid w:val="00AD1A91"/>
    <w:rsid w:val="00AD2261"/>
    <w:rsid w:val="00B53BAC"/>
    <w:rsid w:val="00B81732"/>
    <w:rsid w:val="00CA0DB7"/>
    <w:rsid w:val="00D37C72"/>
    <w:rsid w:val="00DD2F9A"/>
    <w:rsid w:val="00F1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84EFB"/>
  <w15:chartTrackingRefBased/>
  <w15:docId w15:val="{AD9A2A57-C77E-FC41-AEF6-4EB26B34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jc w:val="both"/>
    </w:pPr>
    <w:rPr>
      <w:rFonts w:ascii="CG Times" w:hAnsi="CG Times"/>
      <w:spacing w:val="-2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F16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D262B"/>
    <w:rPr>
      <w:color w:val="0000FF"/>
      <w:u w:val="single"/>
    </w:rPr>
  </w:style>
  <w:style w:type="character" w:styleId="Hipervnculovisitado">
    <w:name w:val="FollowedHyperlink"/>
    <w:rsid w:val="000C57A8"/>
    <w:rPr>
      <w:color w:val="954F72"/>
      <w:u w:val="single"/>
    </w:rPr>
  </w:style>
  <w:style w:type="character" w:styleId="Mencinsinresolver">
    <w:name w:val="Unresolved Mention"/>
    <w:basedOn w:val="Fuentedeprrafopredeter"/>
    <w:uiPriority w:val="47"/>
    <w:rsid w:val="00113E8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87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astyle.or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ausal.es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Salamanca, 25 de abril de 2005</vt:lpstr>
    </vt:vector>
  </TitlesOfParts>
  <Company>Personal</Company>
  <LinksUpToDate>false</LinksUpToDate>
  <CharactersWithSpaces>2645</CharactersWithSpaces>
  <SharedDoc>false</SharedDoc>
  <HLinks>
    <vt:vector size="18" baseType="variant">
      <vt:variant>
        <vt:i4>7340154</vt:i4>
      </vt:variant>
      <vt:variant>
        <vt:i4>0</vt:i4>
      </vt:variant>
      <vt:variant>
        <vt:i4>0</vt:i4>
      </vt:variant>
      <vt:variant>
        <vt:i4>5</vt:i4>
      </vt:variant>
      <vt:variant>
        <vt:lpwstr>http://www.ocausal.es/</vt:lpwstr>
      </vt:variant>
      <vt:variant>
        <vt:lpwstr/>
      </vt:variant>
      <vt:variant>
        <vt:i4>4259840</vt:i4>
      </vt:variant>
      <vt:variant>
        <vt:i4>2066</vt:i4>
      </vt:variant>
      <vt:variant>
        <vt:i4>1025</vt:i4>
      </vt:variant>
      <vt:variant>
        <vt:i4>1</vt:i4>
      </vt:variant>
      <vt:variant>
        <vt:lpwstr>Nuevo_Logo_OCA_300_alfapng</vt:lpwstr>
      </vt:variant>
      <vt:variant>
        <vt:lpwstr/>
      </vt:variant>
      <vt:variant>
        <vt:i4>4849740</vt:i4>
      </vt:variant>
      <vt:variant>
        <vt:i4>-1</vt:i4>
      </vt:variant>
      <vt:variant>
        <vt:i4>2053</vt:i4>
      </vt:variant>
      <vt:variant>
        <vt:i4>1</vt:i4>
      </vt:variant>
      <vt:variant>
        <vt:lpwstr>Logo_Usal_Hor_2011-03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Salamanca, 25 de abril de 2005</dc:title>
  <dc:subject/>
  <dc:creator>JUANJO</dc:creator>
  <cp:keywords/>
  <cp:lastModifiedBy>Microsoft Office User</cp:lastModifiedBy>
  <cp:revision>4</cp:revision>
  <cp:lastPrinted>2006-07-11T10:01:00Z</cp:lastPrinted>
  <dcterms:created xsi:type="dcterms:W3CDTF">2019-05-08T17:31:00Z</dcterms:created>
  <dcterms:modified xsi:type="dcterms:W3CDTF">2019-05-08T18:06:00Z</dcterms:modified>
</cp:coreProperties>
</file>