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904" w:rsidRPr="00AF3362" w:rsidRDefault="003E7904">
      <w:pPr>
        <w:spacing w:line="360" w:lineRule="auto"/>
        <w:jc w:val="both"/>
        <w:rPr>
          <w:b/>
        </w:rPr>
      </w:pPr>
    </w:p>
    <w:p w:rsidR="003E7904" w:rsidRPr="00AF3362" w:rsidRDefault="00BA0F84">
      <w:pPr>
        <w:spacing w:line="360" w:lineRule="auto"/>
        <w:jc w:val="both"/>
        <w:rPr>
          <w:b/>
        </w:rPr>
      </w:pPr>
      <w:bookmarkStart w:id="0" w:name="_GoBack"/>
      <w:r w:rsidRPr="00AF3362">
        <w:rPr>
          <w:b/>
        </w:rPr>
        <w:t xml:space="preserve">Cannabinoid </w:t>
      </w:r>
      <w:r w:rsidR="00E17473" w:rsidRPr="00AF3362">
        <w:rPr>
          <w:b/>
        </w:rPr>
        <w:t>receptor type 2 gene is associated with comorbidity of schizophrenia and cannabis dependence and fatty acid amide hydrolase gene is associated with cannabis dependence in the Spanish population</w:t>
      </w:r>
      <w:r w:rsidR="00535A40" w:rsidRPr="00AF3362">
        <w:rPr>
          <w:b/>
        </w:rPr>
        <w:t>.</w:t>
      </w:r>
    </w:p>
    <w:bookmarkEnd w:id="0"/>
    <w:p w:rsidR="00535A40" w:rsidRPr="00AF3362" w:rsidRDefault="00535A40">
      <w:pPr>
        <w:spacing w:line="360" w:lineRule="auto"/>
        <w:jc w:val="both"/>
        <w:rPr>
          <w:b/>
        </w:rPr>
      </w:pPr>
    </w:p>
    <w:p w:rsidR="003E7904" w:rsidRPr="00AF3362" w:rsidRDefault="00BA0F84">
      <w:pPr>
        <w:spacing w:line="360" w:lineRule="auto"/>
        <w:jc w:val="both"/>
        <w:rPr>
          <w:b/>
          <w:lang w:val="es-ES"/>
        </w:rPr>
      </w:pPr>
      <w:r w:rsidRPr="00AF3362">
        <w:rPr>
          <w:b/>
          <w:lang w:val="es-ES"/>
        </w:rPr>
        <w:t xml:space="preserve">El gen del receptor cannabinoide tipo 2 se asocia con la comorbilidad entre esquizofrenia y dependencia de cannabis y el gen de la enzima amidohidrolasa de ácidos grasos se asocia con la dependencia de cannabis en población española. </w:t>
      </w:r>
    </w:p>
    <w:p w:rsidR="003E7904" w:rsidRPr="00AF3362" w:rsidRDefault="003E7904">
      <w:pPr>
        <w:spacing w:line="360" w:lineRule="auto"/>
        <w:jc w:val="both"/>
        <w:rPr>
          <w:lang w:val="es-ES"/>
        </w:rPr>
      </w:pPr>
    </w:p>
    <w:p w:rsidR="003E7904" w:rsidRPr="00AF3362" w:rsidRDefault="00BA0F84">
      <w:pPr>
        <w:spacing w:line="360" w:lineRule="auto"/>
        <w:jc w:val="both"/>
        <w:rPr>
          <w:lang w:val="es-ES"/>
        </w:rPr>
      </w:pPr>
      <w:r w:rsidRPr="00AF3362">
        <w:rPr>
          <w:lang w:val="es-ES"/>
        </w:rPr>
        <w:t xml:space="preserve"> Francisco Arias Horcajadas</w:t>
      </w:r>
      <w:r w:rsidRPr="00AF3362">
        <w:rPr>
          <w:vertAlign w:val="superscript"/>
          <w:lang w:val="es-ES"/>
        </w:rPr>
        <w:t>*</w:t>
      </w:r>
      <w:r w:rsidR="00E17473" w:rsidRPr="00AF3362">
        <w:rPr>
          <w:lang w:val="es-ES"/>
        </w:rPr>
        <w:t xml:space="preserve">; </w:t>
      </w:r>
      <w:r w:rsidRPr="00AF3362">
        <w:rPr>
          <w:lang w:val="es-ES"/>
        </w:rPr>
        <w:t>José Ramón Dávila Píriz</w:t>
      </w:r>
      <w:r w:rsidRPr="00AF3362">
        <w:rPr>
          <w:vertAlign w:val="superscript"/>
          <w:lang w:val="es-ES"/>
        </w:rPr>
        <w:t>**</w:t>
      </w:r>
      <w:r w:rsidR="00E17473" w:rsidRPr="00AF3362">
        <w:rPr>
          <w:lang w:val="es-ES"/>
        </w:rPr>
        <w:t>;</w:t>
      </w:r>
      <w:r w:rsidRPr="00AF3362">
        <w:rPr>
          <w:lang w:val="es-ES"/>
        </w:rPr>
        <w:t xml:space="preserve"> Alba Parra González</w:t>
      </w:r>
      <w:r w:rsidRPr="00AF3362">
        <w:rPr>
          <w:vertAlign w:val="superscript"/>
          <w:lang w:val="es-ES"/>
        </w:rPr>
        <w:t>*</w:t>
      </w:r>
      <w:r w:rsidR="00E17473" w:rsidRPr="00AF3362">
        <w:rPr>
          <w:lang w:val="es-ES"/>
        </w:rPr>
        <w:t xml:space="preserve">; </w:t>
      </w:r>
      <w:r w:rsidRPr="00AF3362">
        <w:rPr>
          <w:lang w:val="es-ES"/>
        </w:rPr>
        <w:t>Sergio Sánchez Romero</w:t>
      </w:r>
      <w:r w:rsidRPr="00AF3362">
        <w:rPr>
          <w:vertAlign w:val="superscript"/>
          <w:lang w:val="es-ES"/>
        </w:rPr>
        <w:t>***</w:t>
      </w:r>
      <w:r w:rsidR="00E17473" w:rsidRPr="00AF3362">
        <w:rPr>
          <w:lang w:val="es-ES"/>
        </w:rPr>
        <w:t>;</w:t>
      </w:r>
      <w:r w:rsidRPr="00AF3362">
        <w:rPr>
          <w:lang w:val="es-ES"/>
        </w:rPr>
        <w:t xml:space="preserve"> Eva Sánchez-Morla</w:t>
      </w:r>
      <w:r w:rsidRPr="00AF3362">
        <w:rPr>
          <w:vertAlign w:val="superscript"/>
          <w:lang w:val="es-ES"/>
        </w:rPr>
        <w:t>*</w:t>
      </w:r>
      <w:r w:rsidR="00E17473" w:rsidRPr="00AF3362">
        <w:rPr>
          <w:lang w:val="es-ES"/>
        </w:rPr>
        <w:t>;</w:t>
      </w:r>
      <w:r w:rsidRPr="00AF3362">
        <w:rPr>
          <w:lang w:val="es-ES"/>
        </w:rPr>
        <w:t xml:space="preserve"> Israel Ampuero Sánchez</w:t>
      </w:r>
      <w:r w:rsidRPr="00AF3362">
        <w:rPr>
          <w:vertAlign w:val="superscript"/>
          <w:lang w:val="es-ES"/>
        </w:rPr>
        <w:t>****</w:t>
      </w:r>
      <w:r w:rsidR="00E17473" w:rsidRPr="00AF3362">
        <w:rPr>
          <w:lang w:val="es-ES"/>
        </w:rPr>
        <w:t>;</w:t>
      </w:r>
      <w:r w:rsidRPr="00AF3362">
        <w:rPr>
          <w:lang w:val="es-ES"/>
        </w:rPr>
        <w:t xml:space="preserve"> José Antonio</w:t>
      </w:r>
      <w:r w:rsidRPr="00AF3362">
        <w:rPr>
          <w:vertAlign w:val="superscript"/>
          <w:lang w:val="es-ES"/>
        </w:rPr>
        <w:t xml:space="preserve"> </w:t>
      </w:r>
      <w:r w:rsidRPr="00AF3362">
        <w:rPr>
          <w:lang w:val="es-ES"/>
        </w:rPr>
        <w:t>Ramos Atance</w:t>
      </w:r>
      <w:r w:rsidRPr="00AF3362">
        <w:rPr>
          <w:vertAlign w:val="superscript"/>
          <w:lang w:val="es-ES"/>
        </w:rPr>
        <w:t>*****</w:t>
      </w:r>
      <w:r w:rsidRPr="00AF3362">
        <w:rPr>
          <w:lang w:val="es-ES"/>
        </w:rPr>
        <w:t>.</w:t>
      </w:r>
    </w:p>
    <w:p w:rsidR="003E7904" w:rsidRPr="00AF3362" w:rsidRDefault="00C8148E">
      <w:pPr>
        <w:spacing w:line="360" w:lineRule="auto"/>
        <w:jc w:val="both"/>
        <w:rPr>
          <w:lang w:val="es-ES"/>
        </w:rPr>
      </w:pPr>
      <w:r w:rsidRPr="00AF3362">
        <w:rPr>
          <w:lang w:val="es-ES"/>
        </w:rPr>
        <w:t xml:space="preserve">* </w:t>
      </w:r>
      <w:r w:rsidR="00BA0F84" w:rsidRPr="00AF3362">
        <w:rPr>
          <w:lang w:val="es-ES"/>
        </w:rPr>
        <w:t xml:space="preserve">Servicio de Psiquiatría. Hospital Doce de Octubre. Madrid. </w:t>
      </w:r>
    </w:p>
    <w:p w:rsidR="00B26A3B" w:rsidRPr="00AF3362" w:rsidRDefault="00C8148E">
      <w:pPr>
        <w:spacing w:line="360" w:lineRule="auto"/>
        <w:jc w:val="both"/>
        <w:rPr>
          <w:rFonts w:ascii="Arial" w:hAnsi="Arial" w:cs="Arial"/>
          <w:lang w:val="es-ES"/>
        </w:rPr>
      </w:pPr>
      <w:r w:rsidRPr="00AF3362">
        <w:rPr>
          <w:lang w:val="es-ES"/>
        </w:rPr>
        <w:t>**</w:t>
      </w:r>
      <w:r w:rsidR="00BA0F84" w:rsidRPr="00AF3362">
        <w:rPr>
          <w:lang w:val="es-ES"/>
        </w:rPr>
        <w:t xml:space="preserve"> </w:t>
      </w:r>
      <w:r w:rsidR="00B26A3B" w:rsidRPr="00AF3362">
        <w:rPr>
          <w:lang w:val="es-ES"/>
        </w:rPr>
        <w:t xml:space="preserve">Instituto de Enseñanza Secundaria (IES) </w:t>
      </w:r>
      <w:r w:rsidR="00781C69" w:rsidRPr="00AF3362">
        <w:rPr>
          <w:lang w:val="es-ES"/>
        </w:rPr>
        <w:t xml:space="preserve">Alfonso X El Sabio (Toledo). </w:t>
      </w:r>
    </w:p>
    <w:p w:rsidR="003E7904" w:rsidRPr="00AF3362" w:rsidRDefault="00C8148E">
      <w:pPr>
        <w:spacing w:line="360" w:lineRule="auto"/>
        <w:jc w:val="both"/>
        <w:rPr>
          <w:lang w:val="es-ES"/>
        </w:rPr>
      </w:pPr>
      <w:r w:rsidRPr="00AF3362">
        <w:rPr>
          <w:lang w:val="es-ES"/>
        </w:rPr>
        <w:t>***</w:t>
      </w:r>
      <w:r w:rsidR="00BA0F84" w:rsidRPr="00AF3362">
        <w:rPr>
          <w:lang w:val="es-ES"/>
        </w:rPr>
        <w:t xml:space="preserve"> Servicio de Psiquiatría. Hospital Universitario Fundación de Alcorcón</w:t>
      </w:r>
      <w:r w:rsidR="00E17473" w:rsidRPr="00AF3362">
        <w:rPr>
          <w:lang w:val="es-ES"/>
        </w:rPr>
        <w:t>. Madrid</w:t>
      </w:r>
    </w:p>
    <w:p w:rsidR="003E7904" w:rsidRPr="00AF3362" w:rsidRDefault="00C8148E">
      <w:pPr>
        <w:spacing w:line="360" w:lineRule="auto"/>
        <w:jc w:val="both"/>
        <w:rPr>
          <w:lang w:val="es-ES"/>
        </w:rPr>
      </w:pPr>
      <w:r w:rsidRPr="00AF3362">
        <w:rPr>
          <w:lang w:val="es-ES"/>
        </w:rPr>
        <w:t>****</w:t>
      </w:r>
      <w:r w:rsidR="00BA0F84" w:rsidRPr="00AF3362">
        <w:rPr>
          <w:lang w:val="es-ES"/>
        </w:rPr>
        <w:t xml:space="preserve"> </w:t>
      </w:r>
      <w:r w:rsidR="00A5210B" w:rsidRPr="00AF3362">
        <w:rPr>
          <w:lang w:val="es-ES"/>
        </w:rPr>
        <w:t>Colegio Camino Real. Torrejón de Ardoz.</w:t>
      </w:r>
      <w:r w:rsidR="0006341A" w:rsidRPr="00AF3362">
        <w:rPr>
          <w:lang w:val="es-ES"/>
        </w:rPr>
        <w:t xml:space="preserve"> Madrid. </w:t>
      </w:r>
    </w:p>
    <w:p w:rsidR="003E7904" w:rsidRPr="00AF3362" w:rsidRDefault="00C8148E">
      <w:pPr>
        <w:spacing w:line="360" w:lineRule="auto"/>
        <w:jc w:val="both"/>
        <w:rPr>
          <w:lang w:val="es-ES"/>
        </w:rPr>
      </w:pPr>
      <w:r w:rsidRPr="00AF3362">
        <w:rPr>
          <w:lang w:val="es-ES"/>
        </w:rPr>
        <w:t>*****</w:t>
      </w:r>
      <w:r w:rsidR="00BA0F84" w:rsidRPr="00AF3362">
        <w:rPr>
          <w:lang w:val="es-ES"/>
        </w:rPr>
        <w:t xml:space="preserve"> Departamento de Bioquímica y Biología Molecular</w:t>
      </w:r>
      <w:r w:rsidR="00160BCE" w:rsidRPr="00AF3362">
        <w:rPr>
          <w:lang w:val="es-ES"/>
        </w:rPr>
        <w:t>.</w:t>
      </w:r>
      <w:r w:rsidR="00BA0F84" w:rsidRPr="00AF3362">
        <w:rPr>
          <w:lang w:val="es-ES"/>
        </w:rPr>
        <w:t xml:space="preserve"> Facultad de Medicina. Universidad Complutense de Madrid.</w:t>
      </w:r>
    </w:p>
    <w:p w:rsidR="003E7904" w:rsidRPr="00AF3362" w:rsidRDefault="003E7904">
      <w:pPr>
        <w:spacing w:line="360" w:lineRule="auto"/>
        <w:jc w:val="both"/>
        <w:rPr>
          <w:lang w:val="es-ES"/>
        </w:rPr>
      </w:pPr>
    </w:p>
    <w:p w:rsidR="00A5210B" w:rsidRPr="00AF3362" w:rsidRDefault="00A5210B">
      <w:pPr>
        <w:spacing w:line="360" w:lineRule="auto"/>
        <w:jc w:val="both"/>
        <w:rPr>
          <w:lang w:val="es-ES"/>
        </w:rPr>
      </w:pPr>
    </w:p>
    <w:p w:rsidR="003E7904" w:rsidRPr="00AF3362" w:rsidRDefault="00E17473">
      <w:pPr>
        <w:spacing w:line="360" w:lineRule="auto"/>
        <w:jc w:val="both"/>
      </w:pPr>
      <w:r w:rsidRPr="00AF3362">
        <w:rPr>
          <w:lang w:val="es-ES"/>
        </w:rPr>
        <w:t>Send c</w:t>
      </w:r>
      <w:r w:rsidR="00BA0F84" w:rsidRPr="00AF3362">
        <w:rPr>
          <w:lang w:val="es-ES"/>
        </w:rPr>
        <w:t>orrespondence</w:t>
      </w:r>
      <w:r w:rsidRPr="00AF3362">
        <w:rPr>
          <w:lang w:val="es-ES"/>
        </w:rPr>
        <w:t xml:space="preserve"> to</w:t>
      </w:r>
      <w:r w:rsidR="00BA0F84" w:rsidRPr="00AF3362">
        <w:rPr>
          <w:lang w:val="es-ES"/>
        </w:rPr>
        <w:t>: Francisco Arias</w:t>
      </w:r>
      <w:r w:rsidRPr="00AF3362">
        <w:rPr>
          <w:lang w:val="es-ES"/>
        </w:rPr>
        <w:t xml:space="preserve"> Horcajadas</w:t>
      </w:r>
      <w:r w:rsidR="00BA0F84" w:rsidRPr="00AF3362">
        <w:rPr>
          <w:lang w:val="es-ES"/>
        </w:rPr>
        <w:t>.</w:t>
      </w:r>
      <w:r w:rsidRPr="00AF3362">
        <w:rPr>
          <w:lang w:val="es-ES"/>
        </w:rPr>
        <w:t xml:space="preserve"> </w:t>
      </w:r>
      <w:r w:rsidR="00BA0F84" w:rsidRPr="00AF3362">
        <w:rPr>
          <w:lang w:val="es-ES"/>
        </w:rPr>
        <w:t xml:space="preserve">Servicio de Psiquiatría. Hospital Doce de Octubre. </w:t>
      </w:r>
      <w:r w:rsidR="00BA0F84" w:rsidRPr="00AF3362">
        <w:t xml:space="preserve">Avda Córdoba s/n. 28041. Madrid. </w:t>
      </w:r>
      <w:r w:rsidRPr="00AF3362">
        <w:t xml:space="preserve">Email: farias1012@gmail.com </w:t>
      </w:r>
    </w:p>
    <w:p w:rsidR="003E7904" w:rsidRPr="00AF3362" w:rsidRDefault="00BA0F84">
      <w:pPr>
        <w:spacing w:after="160" w:line="360" w:lineRule="auto"/>
      </w:pPr>
      <w:r w:rsidRPr="00AF3362">
        <w:br w:type="page"/>
      </w:r>
    </w:p>
    <w:p w:rsidR="003E7904" w:rsidRPr="00AF3362" w:rsidRDefault="00BA0F84">
      <w:pPr>
        <w:spacing w:line="360" w:lineRule="auto"/>
        <w:jc w:val="both"/>
        <w:rPr>
          <w:b/>
        </w:rPr>
      </w:pPr>
      <w:r w:rsidRPr="00AF3362">
        <w:rPr>
          <w:b/>
        </w:rPr>
        <w:lastRenderedPageBreak/>
        <w:t>Abstract.</w:t>
      </w:r>
    </w:p>
    <w:p w:rsidR="003E7904" w:rsidRPr="00AF3362" w:rsidRDefault="00BA0F84">
      <w:pPr>
        <w:spacing w:line="360" w:lineRule="auto"/>
        <w:jc w:val="both"/>
      </w:pPr>
      <w:r w:rsidRPr="00AF3362">
        <w:t xml:space="preserve">The endocannabinoid system has been associated with various psychiatric disorders such as schizophrenia or addictive disorders. Recent studies </w:t>
      </w:r>
      <w:r w:rsidR="006D6182">
        <w:t xml:space="preserve">have </w:t>
      </w:r>
      <w:r w:rsidRPr="00AF3362">
        <w:t>found that some polymorphisms in the cannabinoid receptor type 2 (</w:t>
      </w:r>
      <w:r w:rsidRPr="00AF3362">
        <w:rPr>
          <w:i/>
        </w:rPr>
        <w:t>CNR2</w:t>
      </w:r>
      <w:r w:rsidRPr="00AF3362">
        <w:t xml:space="preserve">), cannabinoid receptor type 1 </w:t>
      </w:r>
      <w:r w:rsidRPr="00AF3362">
        <w:rPr>
          <w:i/>
        </w:rPr>
        <w:t>(CNR1</w:t>
      </w:r>
      <w:r w:rsidRPr="00AF3362">
        <w:t>) and fatty acid amide hydrolase (</w:t>
      </w:r>
      <w:r w:rsidRPr="00AF3362">
        <w:rPr>
          <w:i/>
        </w:rPr>
        <w:t>FAAH</w:t>
      </w:r>
      <w:r w:rsidRPr="00AF3362">
        <w:t>) genes could play an important role as risk factors in the etiology of these diseases. We analy</w:t>
      </w:r>
      <w:r w:rsidR="007A687E">
        <w:t>s</w:t>
      </w:r>
      <w:r w:rsidRPr="00AF3362">
        <w:t xml:space="preserve">ed different cannabinoid gene polimorphisms from </w:t>
      </w:r>
      <w:r w:rsidR="002D33AF">
        <w:t>non-</w:t>
      </w:r>
      <w:r w:rsidR="007A687E">
        <w:t xml:space="preserve">substance using </w:t>
      </w:r>
      <w:r w:rsidRPr="00AF3362">
        <w:t xml:space="preserve">patients diagnosed </w:t>
      </w:r>
      <w:r w:rsidR="007A687E">
        <w:t>with</w:t>
      </w:r>
      <w:r w:rsidRPr="00AF3362">
        <w:t xml:space="preserve"> schizophrenia (n=379), </w:t>
      </w:r>
      <w:r w:rsidR="007A687E">
        <w:t xml:space="preserve">schizophrenic patients with </w:t>
      </w:r>
      <w:r w:rsidRPr="00AF3362">
        <w:t>cannabis use disorders (n=124), cannabis users w</w:t>
      </w:r>
      <w:r w:rsidR="007A687E">
        <w:t>ho did not have</w:t>
      </w:r>
      <w:r w:rsidRPr="00AF3362">
        <w:t xml:space="preserve"> psychoses (n=71)</w:t>
      </w:r>
      <w:r w:rsidR="00160BCE" w:rsidRPr="00AF3362">
        <w:t>,</w:t>
      </w:r>
      <w:r w:rsidRPr="00AF3362">
        <w:t xml:space="preserve"> and 316 controls from various Spanish hospital</w:t>
      </w:r>
      <w:r w:rsidR="000A3FD4">
        <w:t>s</w:t>
      </w:r>
      <w:r w:rsidRPr="00AF3362">
        <w:t xml:space="preserve"> and health centr</w:t>
      </w:r>
      <w:r w:rsidR="007A687E">
        <w:t>e</w:t>
      </w:r>
      <w:r w:rsidRPr="00AF3362">
        <w:t xml:space="preserve">s. </w:t>
      </w:r>
      <w:bookmarkStart w:id="1" w:name="bookmark=id.gjdgxs" w:colFirst="0" w:colLast="0"/>
      <w:bookmarkEnd w:id="1"/>
      <w:r w:rsidRPr="00AF3362">
        <w:t xml:space="preserve">We found a statistical association between polymorphisms rs35761398 and </w:t>
      </w:r>
      <w:bookmarkStart w:id="2" w:name="bookmark=id.30j0zll" w:colFirst="0" w:colLast="0"/>
      <w:bookmarkEnd w:id="2"/>
      <w:r w:rsidR="007A687E">
        <w:t xml:space="preserve">rs12744386 in </w:t>
      </w:r>
      <w:r w:rsidR="0028044A">
        <w:t xml:space="preserve">the </w:t>
      </w:r>
      <w:r w:rsidRPr="00AF3362">
        <w:rPr>
          <w:i/>
        </w:rPr>
        <w:t>CNR2</w:t>
      </w:r>
      <w:r w:rsidRPr="00AF3362">
        <w:t xml:space="preserve"> gene and comorbidity of schizophrenia </w:t>
      </w:r>
      <w:r w:rsidR="00950CB5">
        <w:t>and</w:t>
      </w:r>
      <w:r w:rsidRPr="00AF3362">
        <w:t xml:space="preserve"> cannabis dependence</w:t>
      </w:r>
      <w:r w:rsidR="006D6182">
        <w:t>,</w:t>
      </w:r>
      <w:r w:rsidRPr="00AF3362">
        <w:t xml:space="preserve"> </w:t>
      </w:r>
      <w:r w:rsidR="00561C80">
        <w:t>as well as an association</w:t>
      </w:r>
      <w:r w:rsidR="006D6182">
        <w:t xml:space="preserve"> between</w:t>
      </w:r>
      <w:r w:rsidRPr="00AF3362">
        <w:t xml:space="preserve"> </w:t>
      </w:r>
      <w:r w:rsidRPr="00B84452">
        <w:t xml:space="preserve">loss of heterozygosity (overdominance) </w:t>
      </w:r>
      <w:r w:rsidR="00FB6B61" w:rsidRPr="00B84452">
        <w:t xml:space="preserve">for </w:t>
      </w:r>
      <w:r w:rsidR="007A687E" w:rsidRPr="00B84452">
        <w:t xml:space="preserve"> polymorphism rs324420 in </w:t>
      </w:r>
      <w:r w:rsidR="0028044A" w:rsidRPr="00B84452">
        <w:t xml:space="preserve">the </w:t>
      </w:r>
      <w:r w:rsidRPr="00B84452">
        <w:rPr>
          <w:i/>
        </w:rPr>
        <w:t>FAAH</w:t>
      </w:r>
      <w:r w:rsidRPr="00B84452">
        <w:t xml:space="preserve"> gene and cannabis dependence</w:t>
      </w:r>
      <w:r w:rsidRPr="00AF3362">
        <w:t xml:space="preserve"> in a Spanish population</w:t>
      </w:r>
      <w:r w:rsidR="0028044A">
        <w:t xml:space="preserve"> sample</w:t>
      </w:r>
      <w:r w:rsidRPr="00AF3362">
        <w:t xml:space="preserve">. </w:t>
      </w:r>
      <w:r w:rsidR="00A85C0C">
        <w:t xml:space="preserve">The </w:t>
      </w:r>
      <w:r w:rsidRPr="00AF3362">
        <w:t xml:space="preserve">rs35761398 and rs12744386 polymorphisms in </w:t>
      </w:r>
      <w:r w:rsidR="00F55927">
        <w:t xml:space="preserve">the </w:t>
      </w:r>
      <w:r w:rsidRPr="00AF3362">
        <w:rPr>
          <w:i/>
        </w:rPr>
        <w:t xml:space="preserve">CNR2 </w:t>
      </w:r>
      <w:r w:rsidRPr="00AF3362">
        <w:t>gene are genetic risk factors for schizophrenia in cannabis dependent</w:t>
      </w:r>
      <w:r w:rsidR="00CA6FDE">
        <w:t xml:space="preserve"> subjects</w:t>
      </w:r>
      <w:r w:rsidRPr="00AF3362">
        <w:t>.</w:t>
      </w:r>
      <w:r w:rsidRPr="00AF3362">
        <w:rPr>
          <w:b/>
        </w:rPr>
        <w:t xml:space="preserve"> </w:t>
      </w:r>
      <w:r w:rsidRPr="00AF3362">
        <w:t xml:space="preserve">Loss of heterozygosity </w:t>
      </w:r>
      <w:r w:rsidR="00A85C0C">
        <w:t>for</w:t>
      </w:r>
      <w:r w:rsidRPr="00AF3362">
        <w:t xml:space="preserve"> polymorphism rs324420 in </w:t>
      </w:r>
      <w:r w:rsidR="000A3FD4">
        <w:t xml:space="preserve">the </w:t>
      </w:r>
      <w:r w:rsidRPr="00AF3362">
        <w:rPr>
          <w:i/>
        </w:rPr>
        <w:t xml:space="preserve">FAAH </w:t>
      </w:r>
      <w:r w:rsidRPr="00AF3362">
        <w:t>gene is a genetic risk factor for cannabis dependence in this population.</w:t>
      </w:r>
    </w:p>
    <w:p w:rsidR="003E7904" w:rsidRPr="00AF3362" w:rsidRDefault="003E7904">
      <w:pPr>
        <w:spacing w:line="360" w:lineRule="auto"/>
        <w:jc w:val="both"/>
        <w:rPr>
          <w:b/>
        </w:rPr>
      </w:pPr>
    </w:p>
    <w:p w:rsidR="003E7904" w:rsidRPr="00AF3362" w:rsidRDefault="00BA0F84">
      <w:pPr>
        <w:spacing w:line="360" w:lineRule="auto"/>
        <w:jc w:val="both"/>
      </w:pPr>
      <w:r w:rsidRPr="00AF3362">
        <w:rPr>
          <w:b/>
        </w:rPr>
        <w:t>Key words</w:t>
      </w:r>
      <w:r w:rsidRPr="00AF3362">
        <w:t>: Cannabis use disorder, schizophrenia, polymorphisms, cannabinoid receptor type 2 gene, cannabinoid receptor type 1 gene and fatty acid amide hydrolase gene.</w:t>
      </w:r>
    </w:p>
    <w:p w:rsidR="003E7904" w:rsidRPr="00AF3362" w:rsidRDefault="003E7904">
      <w:pPr>
        <w:spacing w:line="360" w:lineRule="auto"/>
        <w:jc w:val="both"/>
      </w:pPr>
    </w:p>
    <w:p w:rsidR="0070357D" w:rsidRPr="00AF3362" w:rsidRDefault="0070357D" w:rsidP="0070357D">
      <w:pPr>
        <w:spacing w:line="360" w:lineRule="auto"/>
        <w:jc w:val="both"/>
        <w:rPr>
          <w:b/>
          <w:lang w:val="es-ES"/>
        </w:rPr>
      </w:pPr>
      <w:r w:rsidRPr="00AF3362">
        <w:rPr>
          <w:b/>
          <w:lang w:val="es-ES"/>
        </w:rPr>
        <w:t>Resumen.</w:t>
      </w:r>
    </w:p>
    <w:p w:rsidR="0070357D" w:rsidRPr="00AF3362" w:rsidRDefault="0070357D" w:rsidP="0070357D">
      <w:pPr>
        <w:spacing w:line="360" w:lineRule="auto"/>
        <w:jc w:val="both"/>
        <w:rPr>
          <w:lang w:val="es-ES"/>
        </w:rPr>
      </w:pPr>
      <w:r w:rsidRPr="00AF3362">
        <w:rPr>
          <w:lang w:val="es-ES"/>
        </w:rPr>
        <w:t>El sistema cannabinoide se ha asociado con varios trastornos psiquiátricos como la esquizofrenia y las adicciones. Diversos estudios han observado que algunos polimorfismos del receptor cannabinoide tipo 2 (</w:t>
      </w:r>
      <w:r w:rsidRPr="00AF3362">
        <w:rPr>
          <w:i/>
          <w:lang w:val="es-ES"/>
        </w:rPr>
        <w:t>CNR2</w:t>
      </w:r>
      <w:r w:rsidRPr="00AF3362">
        <w:rPr>
          <w:lang w:val="es-ES"/>
        </w:rPr>
        <w:t xml:space="preserve">), receptor cannabinoide tipo 1 </w:t>
      </w:r>
      <w:r w:rsidRPr="00AF3362">
        <w:rPr>
          <w:i/>
          <w:lang w:val="es-ES"/>
        </w:rPr>
        <w:t>(CNR1</w:t>
      </w:r>
      <w:r w:rsidRPr="00AF3362">
        <w:rPr>
          <w:lang w:val="es-ES"/>
        </w:rPr>
        <w:t>) y gen de la enzima amido hidrolasa de ácidos grasos (</w:t>
      </w:r>
      <w:r w:rsidRPr="00AF3362">
        <w:rPr>
          <w:i/>
          <w:lang w:val="es-ES"/>
        </w:rPr>
        <w:t>FAAH</w:t>
      </w:r>
      <w:r w:rsidRPr="00AF3362">
        <w:rPr>
          <w:lang w:val="es-ES"/>
        </w:rPr>
        <w:t xml:space="preserve">) pueden ser factores de riesgo de estos trastornos. Hemos analizado diversos polimorfismos del sistema cannabinoide en pacientes diagnosticados de esquizofrenia sin trastorno por uso de sustancias (n=379), esquizofrenia con trastorno por uso de cannabis (n=124), dependientes de cannabis sin psicosis asociada (n=71) y un grupo control (316) procedentes de diversos hospitales y centros de asistencia sanitaria españoles. Hemos encontrado una asociación entre los polimorfismos rs35761398 y rs12744386 del </w:t>
      </w:r>
      <w:r w:rsidRPr="00AF3362">
        <w:rPr>
          <w:i/>
          <w:lang w:val="es-ES"/>
        </w:rPr>
        <w:t>CNR2</w:t>
      </w:r>
      <w:r w:rsidRPr="00AF3362">
        <w:rPr>
          <w:lang w:val="es-ES"/>
        </w:rPr>
        <w:t xml:space="preserve"> con la presencia de esquizofrenia y trastorno por uso de cannabis comórbido y una </w:t>
      </w:r>
      <w:r w:rsidRPr="00AF3362">
        <w:rPr>
          <w:lang w:val="es-ES"/>
        </w:rPr>
        <w:lastRenderedPageBreak/>
        <w:t xml:space="preserve">pérdida de heterocigocidad en el polimorfismo rs324420 en el gen </w:t>
      </w:r>
      <w:r w:rsidRPr="00AF3362">
        <w:rPr>
          <w:i/>
          <w:lang w:val="es-ES"/>
        </w:rPr>
        <w:t>FAAH</w:t>
      </w:r>
      <w:r w:rsidRPr="00AF3362">
        <w:rPr>
          <w:lang w:val="es-ES"/>
        </w:rPr>
        <w:t xml:space="preserve"> con la dependencia de cannabis en población española. Los polimorfismos rs35761398 y rs 12744386 en </w:t>
      </w:r>
      <w:r w:rsidRPr="00AF3362">
        <w:rPr>
          <w:i/>
          <w:lang w:val="es-ES"/>
        </w:rPr>
        <w:t xml:space="preserve">CNR2 </w:t>
      </w:r>
      <w:r w:rsidRPr="00AF3362">
        <w:rPr>
          <w:lang w:val="es-ES"/>
        </w:rPr>
        <w:t xml:space="preserve">son factores de riesgo para esquizofrenia en dependientes de cannabis. La pérdida de heterocigocidad en el polimorfismo rs324420 en el gen </w:t>
      </w:r>
      <w:r w:rsidRPr="00AF3362">
        <w:rPr>
          <w:i/>
          <w:lang w:val="es-ES"/>
        </w:rPr>
        <w:t>FAAH</w:t>
      </w:r>
      <w:r w:rsidRPr="00AF3362">
        <w:rPr>
          <w:lang w:val="es-ES"/>
        </w:rPr>
        <w:t xml:space="preserve"> es un factor de riesgo para la dependencia de cannabis. </w:t>
      </w:r>
    </w:p>
    <w:p w:rsidR="0070357D" w:rsidRPr="00AF3362" w:rsidRDefault="0070357D" w:rsidP="0070357D">
      <w:pPr>
        <w:spacing w:line="360" w:lineRule="auto"/>
        <w:jc w:val="both"/>
        <w:rPr>
          <w:b/>
          <w:lang w:val="es-ES"/>
        </w:rPr>
      </w:pPr>
    </w:p>
    <w:p w:rsidR="0070357D" w:rsidRPr="00AF3362" w:rsidRDefault="0070357D" w:rsidP="0070357D">
      <w:pPr>
        <w:spacing w:line="360" w:lineRule="auto"/>
        <w:jc w:val="both"/>
        <w:rPr>
          <w:lang w:val="es-ES"/>
        </w:rPr>
      </w:pPr>
      <w:r w:rsidRPr="00AF3362">
        <w:rPr>
          <w:b/>
          <w:lang w:val="es-ES"/>
        </w:rPr>
        <w:t xml:space="preserve">Palabras clave: </w:t>
      </w:r>
      <w:r w:rsidRPr="00AF3362">
        <w:rPr>
          <w:lang w:val="es-ES"/>
        </w:rPr>
        <w:t xml:space="preserve">trastorno por uso de cannabis, esquizofrenia, polimorfismos, gen del receptor cannabinoide tipo 2, gen del receptor cannabinoide tipo 1, gen de la enzima amido hidrolasa de ácidos grasos. </w:t>
      </w:r>
    </w:p>
    <w:p w:rsidR="0070357D" w:rsidRPr="00AF3362" w:rsidRDefault="0070357D" w:rsidP="0070357D">
      <w:pPr>
        <w:spacing w:line="360" w:lineRule="auto"/>
        <w:jc w:val="both"/>
        <w:rPr>
          <w:lang w:val="es-ES"/>
        </w:rPr>
      </w:pPr>
    </w:p>
    <w:p w:rsidR="0070357D" w:rsidRPr="00AF3362" w:rsidRDefault="0070357D" w:rsidP="0070357D">
      <w:pPr>
        <w:spacing w:line="360" w:lineRule="auto"/>
        <w:jc w:val="both"/>
        <w:rPr>
          <w:b/>
          <w:lang w:val="es-ES"/>
        </w:rPr>
      </w:pPr>
    </w:p>
    <w:p w:rsidR="003E7904" w:rsidRPr="00AF3362" w:rsidRDefault="003E7904">
      <w:pPr>
        <w:spacing w:line="360" w:lineRule="auto"/>
        <w:jc w:val="both"/>
        <w:rPr>
          <w:lang w:val="es-ES"/>
        </w:rPr>
      </w:pPr>
    </w:p>
    <w:p w:rsidR="003E7904" w:rsidRPr="00AF3362" w:rsidRDefault="00BA0F84">
      <w:pPr>
        <w:spacing w:after="160" w:line="360" w:lineRule="auto"/>
        <w:rPr>
          <w:lang w:val="es-ES"/>
        </w:rPr>
      </w:pPr>
      <w:r w:rsidRPr="00AF3362">
        <w:rPr>
          <w:lang w:val="es-ES"/>
        </w:rPr>
        <w:br w:type="page"/>
      </w:r>
    </w:p>
    <w:p w:rsidR="003E7904" w:rsidRPr="00AF3362" w:rsidRDefault="00BA0F84">
      <w:pPr>
        <w:spacing w:line="360" w:lineRule="auto"/>
        <w:jc w:val="both"/>
      </w:pPr>
      <w:r w:rsidRPr="00AF3362">
        <w:lastRenderedPageBreak/>
        <w:t xml:space="preserve">Schizophrenia is a severe mental disorder with a worldwide prevalence of 0.5–1.0% and </w:t>
      </w:r>
      <w:r w:rsidR="00E01DC2">
        <w:t xml:space="preserve">it has </w:t>
      </w:r>
      <w:r w:rsidRPr="00AF3362">
        <w:t xml:space="preserve">an enormous social and economic impact (Andreasen, 1995; Dong et al., 2019). Different epidemiologic studies have suggested that cannabis could be a risk factor for the development of schizophrenia (Marconi, Di Forti, Lewis, Murray &amp; Vassos, 2016). Moreover, the well-known psychotropic effects of cannabinoids and the distribution of cannabinoid receptors in the brain suggest that the endocannabinoid system may be involved in schizophrenia (Fakhoury, 2017; Minichino et al., 2019) and addictive disorders (Manzanares et al., 2018; Van Hell et al., 2012). A </w:t>
      </w:r>
      <w:r w:rsidR="001C155C">
        <w:t xml:space="preserve">study </w:t>
      </w:r>
      <w:r w:rsidRPr="00AF3362">
        <w:t xml:space="preserve">identified an association between early cannabis use, lower cortical thickness and high polygenic risk for psychosis in adolescents. This finding implicates processes underlying cortical maturation in mediating the link between cannabis use and </w:t>
      </w:r>
      <w:r w:rsidR="001C155C">
        <w:t>proneness</w:t>
      </w:r>
      <w:r w:rsidRPr="00AF3362">
        <w:t xml:space="preserve"> to schizophrenia (French et al., 2015)</w:t>
      </w:r>
      <w:r w:rsidR="00811596">
        <w:t>,</w:t>
      </w:r>
      <w:r w:rsidRPr="00AF3362">
        <w:t xml:space="preserve"> indicat</w:t>
      </w:r>
      <w:r w:rsidR="00811596">
        <w:t>ing</w:t>
      </w:r>
      <w:r w:rsidRPr="00AF3362">
        <w:t xml:space="preserve"> that cannabis could potentially play a role in the development of psychosis by altering neural circuits in genetic</w:t>
      </w:r>
      <w:r w:rsidR="00683D53">
        <w:t>ally</w:t>
      </w:r>
      <w:r w:rsidRPr="00AF3362">
        <w:t xml:space="preserve"> vulnerable subjects (Aas et al., 2019; Fonseca-Pedrero, Lucas-Molina, Pérez-Albéniz, Inchausti &amp; Ortuño-Sierra, 2019; French et al., 2015; García-Álvarez, Gomar, García-Portilla &amp; Bobes, 2019; Parkar et al., 2011).</w:t>
      </w:r>
    </w:p>
    <w:p w:rsidR="003E7904" w:rsidRPr="00AF3362" w:rsidRDefault="00BA0F84">
      <w:pPr>
        <w:spacing w:line="360" w:lineRule="auto"/>
        <w:jc w:val="both"/>
      </w:pPr>
      <w:r w:rsidRPr="00AF3362">
        <w:rPr>
          <w:i/>
        </w:rPr>
        <w:t xml:space="preserve">CNR1, CNR2 </w:t>
      </w:r>
      <w:r w:rsidRPr="00AF3362">
        <w:t>and</w:t>
      </w:r>
      <w:r w:rsidRPr="00AF3362">
        <w:rPr>
          <w:i/>
        </w:rPr>
        <w:t xml:space="preserve"> FAAH</w:t>
      </w:r>
      <w:r w:rsidRPr="00AF3362">
        <w:t xml:space="preserve"> are the genes that encode some of the proteins associated with the endocannabinoid system. CB1 receptors are mainly located in the central nervous system and are abundant in the basal ganglia, hippocampus, cerebellum and cortical areas (Herkenham et al., 1991). CB2 receptors were initially found in the immune system (Galiègue et al., 1995), however, </w:t>
      </w:r>
      <w:r w:rsidR="00C03FC2">
        <w:t xml:space="preserve">their presence has </w:t>
      </w:r>
      <w:r w:rsidRPr="00AF3362">
        <w:t xml:space="preserve">also </w:t>
      </w:r>
      <w:r w:rsidR="00C03FC2">
        <w:t xml:space="preserve">been </w:t>
      </w:r>
      <w:r w:rsidRPr="00AF3362">
        <w:t>demonstrated in neurons and glial cells of multiple brain areas (cerebral cortex, hippocampus, amygdala, striatum, thalamus, cerebellum...) (Gong et al., 2006; Onaivi et al., 2006).</w:t>
      </w:r>
      <w:r w:rsidRPr="00AF3362">
        <w:rPr>
          <w:i/>
        </w:rPr>
        <w:t xml:space="preserve"> </w:t>
      </w:r>
      <w:r w:rsidRPr="00AF3362">
        <w:t>Fatty Acid Amide Hydrolase (FAAH) is the enzyme responsible for the hydrolysis of anandamide, an endogenous ligand of this system</w:t>
      </w:r>
      <w:r w:rsidRPr="00AF3362">
        <w:rPr>
          <w:i/>
        </w:rPr>
        <w:t xml:space="preserve"> </w:t>
      </w:r>
      <w:r w:rsidRPr="00AF3362">
        <w:t xml:space="preserve">(Deutsch, Ueda &amp; Yamamoto, 2002). </w:t>
      </w:r>
      <w:r w:rsidR="00A0081F">
        <w:t xml:space="preserve"> </w:t>
      </w:r>
    </w:p>
    <w:p w:rsidR="003E7904" w:rsidRPr="00AF3362" w:rsidRDefault="00BA0F84">
      <w:pPr>
        <w:spacing w:line="360" w:lineRule="auto"/>
        <w:jc w:val="both"/>
      </w:pPr>
      <w:r w:rsidRPr="00AF3362">
        <w:t xml:space="preserve">Some studies have suggested an association between the </w:t>
      </w:r>
      <w:r w:rsidRPr="00AF3362">
        <w:rPr>
          <w:i/>
        </w:rPr>
        <w:t xml:space="preserve">CNR1 </w:t>
      </w:r>
      <w:r w:rsidRPr="00AF3362">
        <w:t>gene (that encodes the CB1 receptor) and incidence of schizophrenia (Chavarría-Siles et al., 2008; Leroy et al., 2001; Martínez-Gras et al., 2006; Ujike et al., 2002) and substance use disorders, such as cannabis use</w:t>
      </w:r>
      <w:r w:rsidR="00833CA4" w:rsidRPr="00AF3362">
        <w:t xml:space="preserve"> disorder</w:t>
      </w:r>
      <w:r w:rsidRPr="00AF3362">
        <w:t xml:space="preserve"> (Gerra et al., 2018; Hartman et al., 2009). However, evidence remains heterogeneous and controversial for both outcomes. Gouvêa et al (2017) systematically analysed all the exist</w:t>
      </w:r>
      <w:r w:rsidR="00A44333">
        <w:t>ing</w:t>
      </w:r>
      <w:r w:rsidRPr="00AF3362">
        <w:t xml:space="preserve"> trials </w:t>
      </w:r>
      <w:r w:rsidR="00A44333">
        <w:t>on</w:t>
      </w:r>
      <w:r w:rsidRPr="00AF3362">
        <w:t xml:space="preserve"> </w:t>
      </w:r>
      <w:r w:rsidRPr="00AF3362">
        <w:rPr>
          <w:i/>
        </w:rPr>
        <w:t>CNR1</w:t>
      </w:r>
      <w:r w:rsidRPr="00AF3362">
        <w:t xml:space="preserve"> gene variants and schizophrenia and emphasized the high heterogeneity of the results. A polymorphism consisting of nine alleles containing (AAT) 7-15 repeat sequences has been used in association studies on the </w:t>
      </w:r>
      <w:r w:rsidRPr="00AF3362">
        <w:rPr>
          <w:i/>
        </w:rPr>
        <w:t>CNR1</w:t>
      </w:r>
      <w:r w:rsidRPr="00AF3362">
        <w:t xml:space="preserve"> gene and mental illness and drug abuse among different populations, with contradictory results (Ballon et al., 2006; Chavarría-Siles et al., 2008; Comings et al., 1997; Martinez-Gras et al., 2006; Tsai, Wang &amp; Hong, 2000; Ujike et al., 2002).  </w:t>
      </w:r>
    </w:p>
    <w:p w:rsidR="003E7904" w:rsidRPr="00AF3362" w:rsidRDefault="00AF3362">
      <w:pPr>
        <w:spacing w:line="360" w:lineRule="auto"/>
        <w:jc w:val="both"/>
      </w:pPr>
      <w:r>
        <w:t>I</w:t>
      </w:r>
      <w:r w:rsidR="00BA0F84" w:rsidRPr="00AF3362">
        <w:t>n recent years</w:t>
      </w:r>
      <w:r w:rsidR="00160BCE" w:rsidRPr="00AF3362">
        <w:t>,</w:t>
      </w:r>
      <w:r w:rsidR="00BA0F84" w:rsidRPr="00AF3362">
        <w:t xml:space="preserve"> </w:t>
      </w:r>
      <w:r w:rsidR="00E47115">
        <w:t xml:space="preserve">the </w:t>
      </w:r>
      <w:r w:rsidR="00BA0F84" w:rsidRPr="00AF3362">
        <w:t xml:space="preserve">CB2 receptor has gained attention due to its function as </w:t>
      </w:r>
      <w:r w:rsidR="00396649">
        <w:t xml:space="preserve">a </w:t>
      </w:r>
      <w:r w:rsidR="00BA0F84" w:rsidRPr="00AF3362">
        <w:t>modulator of neuroinflammation (Javed, Azimullah, Haque &amp; Ojha., 2016; Kong, Li, Tuma &amp; Ganea, 2014; Malfitano, Basu, Maresz, Bifulco &amp; Dittel, 2014), memory processes (García-Gutiérrez et al., 2013),</w:t>
      </w:r>
      <w:r w:rsidR="00160BCE" w:rsidRPr="00AF3362">
        <w:t xml:space="preserve"> </w:t>
      </w:r>
      <w:r w:rsidR="00E47115">
        <w:t>and</w:t>
      </w:r>
      <w:r w:rsidR="00BA0F84" w:rsidRPr="00AF3362">
        <w:t xml:space="preserve"> reward processing, </w:t>
      </w:r>
      <w:r w:rsidR="00160BCE" w:rsidRPr="00AF3362">
        <w:t xml:space="preserve">and </w:t>
      </w:r>
      <w:r w:rsidR="00DD4DD4">
        <w:t xml:space="preserve">for </w:t>
      </w:r>
      <w:r w:rsidR="00160BCE" w:rsidRPr="00AF3362">
        <w:t xml:space="preserve">its role in </w:t>
      </w:r>
      <w:r w:rsidR="00BA0F84" w:rsidRPr="00AF3362">
        <w:t>drug addiction,</w:t>
      </w:r>
      <w:r w:rsidR="00833CA4" w:rsidRPr="00AF3362">
        <w:t xml:space="preserve"> and</w:t>
      </w:r>
      <w:r w:rsidR="00BA0F84" w:rsidRPr="00AF3362">
        <w:t xml:space="preserve"> psychosis</w:t>
      </w:r>
      <w:r w:rsidR="00BA0F84" w:rsidRPr="00AF3362">
        <w:rPr>
          <w:strike/>
        </w:rPr>
        <w:t xml:space="preserve"> </w:t>
      </w:r>
      <w:r w:rsidR="00BA0F84" w:rsidRPr="00AF3362">
        <w:t xml:space="preserve">(Onaivi, Ishiguro, Gu &amp; Liu, 2012; Xi et al., 2011). The </w:t>
      </w:r>
      <w:r w:rsidR="004164A6">
        <w:t xml:space="preserve">frequency of the </w:t>
      </w:r>
      <w:r w:rsidR="00BA0F84" w:rsidRPr="00AF3362">
        <w:t>CC allele of rs35761398 (R63 variant), the C allele of rs12744386</w:t>
      </w:r>
      <w:r w:rsidR="00396649">
        <w:t>,</w:t>
      </w:r>
      <w:r w:rsidR="00BA0F84" w:rsidRPr="00AF3362">
        <w:t xml:space="preserve"> the haplotype of the CC allele of rs35761398 and the C allele of rs12744386 (CC/C) w</w:t>
      </w:r>
      <w:r w:rsidR="004164A6">
        <w:t>as</w:t>
      </w:r>
      <w:r w:rsidR="00BA0F84" w:rsidRPr="00AF3362">
        <w:t xml:space="preserve"> </w:t>
      </w:r>
      <w:r w:rsidR="00DD4DD4">
        <w:t xml:space="preserve">found to be </w:t>
      </w:r>
      <w:r w:rsidR="00BA0F84" w:rsidRPr="00AF3362">
        <w:t xml:space="preserve">significantly increased among a Japanese population </w:t>
      </w:r>
      <w:r w:rsidR="00B96EEC">
        <w:t xml:space="preserve">sample </w:t>
      </w:r>
      <w:r w:rsidR="00BA0F84" w:rsidRPr="00AF3362">
        <w:t xml:space="preserve">with schizophrenia compared with control subjects (Ishiguro et al., 2010). </w:t>
      </w:r>
      <w:r w:rsidR="005E29F1" w:rsidRPr="008F4D16">
        <w:t xml:space="preserve">A significantly lower response to CB2 ligands in cultured cells transfected with the CC allele of rs35761398 compared with those transfected with the TT allele was observed, and significantly lower CB2 receptor mRNA and protein levels were found in the human brain with the C/C and C/T genotypes of rs12744386 compared with </w:t>
      </w:r>
      <w:r w:rsidR="00D61FD3">
        <w:t xml:space="preserve"> </w:t>
      </w:r>
      <w:r w:rsidR="005E29F1" w:rsidRPr="008F4D16">
        <w:t>T/T genotypes (Ishiguro et al., 2010).</w:t>
      </w:r>
    </w:p>
    <w:p w:rsidR="003E7904" w:rsidRPr="00AF3362" w:rsidRDefault="00BA0F84">
      <w:pPr>
        <w:spacing w:line="360" w:lineRule="auto"/>
        <w:jc w:val="both"/>
      </w:pPr>
      <w:r w:rsidRPr="00AF3362">
        <w:t xml:space="preserve">On the other hand, a common Single Nucleotide Polymorphism (SNP) rs324420 (C385A) in the human </w:t>
      </w:r>
      <w:r w:rsidRPr="00AF3362">
        <w:rPr>
          <w:i/>
        </w:rPr>
        <w:t xml:space="preserve">FAAH </w:t>
      </w:r>
      <w:r w:rsidRPr="00AF3362">
        <w:t>gene has been related to drug abuse, for instance</w:t>
      </w:r>
      <w:r w:rsidR="00160BCE" w:rsidRPr="00AF3362">
        <w:t>,</w:t>
      </w:r>
      <w:r w:rsidRPr="00AF3362">
        <w:t xml:space="preserve">  cannabis (Tyndale, Payne, Gerber &amp; Sipe, 2007), cocaine (Patel et al., 2018) </w:t>
      </w:r>
      <w:r w:rsidR="0000686D">
        <w:t>and</w:t>
      </w:r>
      <w:r w:rsidRPr="00AF3362">
        <w:t xml:space="preserve"> methamphetamine (Zhang, Liu, Deng, Ma &amp; Liu, 2020). </w:t>
      </w:r>
    </w:p>
    <w:p w:rsidR="003E7904" w:rsidRPr="00AF3362" w:rsidRDefault="00BA0F84">
      <w:pPr>
        <w:spacing w:line="360" w:lineRule="auto"/>
        <w:jc w:val="both"/>
      </w:pPr>
      <w:r w:rsidRPr="00AF3362">
        <w:t xml:space="preserve">The aim of this study was to investigate genetic association between the </w:t>
      </w:r>
      <w:r w:rsidRPr="00AF3362">
        <w:rPr>
          <w:i/>
        </w:rPr>
        <w:t>CNR1</w:t>
      </w:r>
      <w:r w:rsidRPr="00AF3362">
        <w:t xml:space="preserve"> gene (AAT)</w:t>
      </w:r>
      <w:r w:rsidRPr="00AF3362">
        <w:rPr>
          <w:vertAlign w:val="subscript"/>
        </w:rPr>
        <w:t>7-15</w:t>
      </w:r>
      <w:r w:rsidRPr="00AF3362">
        <w:t xml:space="preserve"> repeat polymorphism, the </w:t>
      </w:r>
      <w:r w:rsidRPr="00AF3362">
        <w:rPr>
          <w:i/>
        </w:rPr>
        <w:t>FAAH</w:t>
      </w:r>
      <w:r w:rsidRPr="00AF3362">
        <w:t xml:space="preserve"> gene </w:t>
      </w:r>
      <w:r w:rsidR="008344B8">
        <w:t xml:space="preserve">SNP </w:t>
      </w:r>
      <w:r w:rsidRPr="00AF3362">
        <w:t>rs324420</w:t>
      </w:r>
      <w:r w:rsidR="008344B8">
        <w:t>,</w:t>
      </w:r>
      <w:r w:rsidRPr="00AF3362">
        <w:t xml:space="preserve"> the </w:t>
      </w:r>
      <w:r w:rsidRPr="00AF3362">
        <w:rPr>
          <w:i/>
        </w:rPr>
        <w:t xml:space="preserve">CNR2 </w:t>
      </w:r>
      <w:r w:rsidRPr="00AF3362">
        <w:t>gene rs35761398 and rs12744386 polymorphisms</w:t>
      </w:r>
      <w:r w:rsidR="00A91271">
        <w:t>,</w:t>
      </w:r>
      <w:r w:rsidRPr="00AF3362">
        <w:t xml:space="preserve"> and schizophrenia and cannabis dependence in a sample</w:t>
      </w:r>
      <w:r w:rsidR="00A91271">
        <w:t xml:space="preserve"> of Spanish subjects</w:t>
      </w:r>
      <w:r w:rsidRPr="00AF3362">
        <w:t xml:space="preserve">. </w:t>
      </w:r>
    </w:p>
    <w:p w:rsidR="003E7904" w:rsidRPr="00AF3362" w:rsidRDefault="003E7904">
      <w:pPr>
        <w:spacing w:line="360" w:lineRule="auto"/>
        <w:jc w:val="both"/>
      </w:pPr>
    </w:p>
    <w:p w:rsidR="003E7904" w:rsidRPr="00AF3362" w:rsidRDefault="00BA0F84">
      <w:pPr>
        <w:spacing w:line="360" w:lineRule="auto"/>
        <w:jc w:val="both"/>
        <w:rPr>
          <w:b/>
        </w:rPr>
      </w:pPr>
      <w:r w:rsidRPr="00AF3362">
        <w:rPr>
          <w:b/>
        </w:rPr>
        <w:t xml:space="preserve">Methods </w:t>
      </w:r>
    </w:p>
    <w:p w:rsidR="003E7904" w:rsidRPr="00AF3362" w:rsidRDefault="00BA0F84">
      <w:pPr>
        <w:shd w:val="clear" w:color="auto" w:fill="FFFFFF"/>
        <w:spacing w:before="240" w:after="240" w:line="360" w:lineRule="auto"/>
        <w:jc w:val="both"/>
        <w:rPr>
          <w:i/>
        </w:rPr>
      </w:pPr>
      <w:r w:rsidRPr="00AF3362">
        <w:rPr>
          <w:i/>
        </w:rPr>
        <w:t>Participants</w:t>
      </w:r>
    </w:p>
    <w:p w:rsidR="003E7904" w:rsidRPr="00AF3362" w:rsidRDefault="00BA0F84">
      <w:pPr>
        <w:shd w:val="clear" w:color="auto" w:fill="FFFFFF"/>
        <w:spacing w:before="240" w:after="240" w:line="360" w:lineRule="auto"/>
        <w:jc w:val="both"/>
      </w:pPr>
      <w:r w:rsidRPr="00AF3362">
        <w:t xml:space="preserve">In this study, 379 schizophrenic patients, 124 schizophrenic and cannabis use disorder (CUD) patients (Dual group), 71 CUD </w:t>
      </w:r>
      <w:r w:rsidR="00EB0D7D">
        <w:t xml:space="preserve">subjects </w:t>
      </w:r>
      <w:r w:rsidRPr="00AF3362">
        <w:t xml:space="preserve">without psychoses (cannabis group) and 316 controls </w:t>
      </w:r>
      <w:r w:rsidR="00FF581A">
        <w:t xml:space="preserve">who were not related to </w:t>
      </w:r>
      <w:r w:rsidR="0014209C">
        <w:t xml:space="preserve">each other </w:t>
      </w:r>
      <w:r w:rsidRPr="00AF3362">
        <w:t xml:space="preserve">were analysed. Diagnoses were made according to DSM-IV-TR by clinical interview. </w:t>
      </w:r>
      <w:r w:rsidR="00BE35EB">
        <w:t>The p</w:t>
      </w:r>
      <w:r w:rsidRPr="00AF3362">
        <w:t>atients (outpatients and inpatients) were recruited from different hospitals in the Community of Madrid and Castilla-La Mancha. Cannabis users without psychosis were recruited from addiction centr</w:t>
      </w:r>
      <w:r w:rsidR="002D18C7">
        <w:t>e</w:t>
      </w:r>
      <w:r w:rsidRPr="00AF3362">
        <w:t>s or user associations in the Community of Madrid. Inclusion criteria were</w:t>
      </w:r>
      <w:r w:rsidR="002D18C7">
        <w:t>:</w:t>
      </w:r>
      <w:r w:rsidRPr="00AF3362">
        <w:t xml:space="preserve"> </w:t>
      </w:r>
      <w:r w:rsidR="002D18C7">
        <w:t xml:space="preserve">being </w:t>
      </w:r>
      <w:r w:rsidRPr="00AF3362">
        <w:t>over 18 years of age, be</w:t>
      </w:r>
      <w:r w:rsidR="002D18C7">
        <w:t>ing</w:t>
      </w:r>
      <w:r w:rsidRPr="00AF3362">
        <w:t xml:space="preserve"> Spanish and Caucasian, and sign</w:t>
      </w:r>
      <w:r w:rsidR="002D18C7">
        <w:t>ing</w:t>
      </w:r>
      <w:r w:rsidRPr="00AF3362">
        <w:t xml:space="preserve"> the informed consent. Exclusion criteria were</w:t>
      </w:r>
      <w:r w:rsidR="006B01FA">
        <w:t>:</w:t>
      </w:r>
      <w:r w:rsidRPr="00AF3362">
        <w:t xml:space="preserve"> being themselves or having first-degree relatives of another ethnic origin, from countries other than Spain, presence of mental disorders other than those </w:t>
      </w:r>
      <w:r w:rsidR="006B01FA">
        <w:t xml:space="preserve">being </w:t>
      </w:r>
      <w:r w:rsidRPr="00AF3362">
        <w:t xml:space="preserve">studied, dependence on drugs other than cannabis or tobacco, presenting </w:t>
      </w:r>
      <w:r w:rsidR="006B01FA">
        <w:t xml:space="preserve">comorbid </w:t>
      </w:r>
      <w:r w:rsidRPr="00AF3362">
        <w:t>organic brain pathology or other serious medical condition</w:t>
      </w:r>
      <w:r w:rsidR="006B01FA">
        <w:t>s</w:t>
      </w:r>
      <w:r w:rsidRPr="00AF3362">
        <w:t xml:space="preserve"> and refus</w:t>
      </w:r>
      <w:r w:rsidR="006B01FA">
        <w:t>ing</w:t>
      </w:r>
      <w:r w:rsidRPr="00AF3362">
        <w:t xml:space="preserve"> to participate or </w:t>
      </w:r>
      <w:r w:rsidR="006B01FA">
        <w:t xml:space="preserve">failing to </w:t>
      </w:r>
      <w:r w:rsidRPr="00AF3362">
        <w:t xml:space="preserve">sign the informed consent. Patients with a diagnosis of </w:t>
      </w:r>
      <w:r w:rsidR="0025335F">
        <w:t xml:space="preserve">dependence on </w:t>
      </w:r>
      <w:r w:rsidRPr="00AF3362">
        <w:t>drug</w:t>
      </w:r>
      <w:r w:rsidR="0025335F">
        <w:t>s</w:t>
      </w:r>
      <w:r w:rsidRPr="00AF3362">
        <w:t xml:space="preserve"> other than cannabis or tobacco were excluded, although </w:t>
      </w:r>
      <w:r w:rsidR="00416C4A">
        <w:t>subjects</w:t>
      </w:r>
      <w:r w:rsidRPr="00AF3362">
        <w:t xml:space="preserve"> were included if the</w:t>
      </w:r>
      <w:r w:rsidR="00962D98">
        <w:t>y</w:t>
      </w:r>
      <w:r w:rsidRPr="00AF3362">
        <w:t xml:space="preserve"> </w:t>
      </w:r>
      <w:r w:rsidR="00962D98">
        <w:t>used drugs but were not dependent</w:t>
      </w:r>
      <w:r w:rsidRPr="00AF3362">
        <w:t>.</w:t>
      </w:r>
    </w:p>
    <w:p w:rsidR="003E7904" w:rsidRPr="00AF3362" w:rsidRDefault="00BA0F84">
      <w:pPr>
        <w:spacing w:line="360" w:lineRule="auto"/>
        <w:jc w:val="both"/>
      </w:pPr>
      <w:bookmarkStart w:id="3" w:name="bookmark=id.1fob9te" w:colFirst="0" w:colLast="0"/>
      <w:bookmarkEnd w:id="3"/>
      <w:r w:rsidRPr="00AF3362">
        <w:t xml:space="preserve">The control population consisted of 316 individual volunteers who were </w:t>
      </w:r>
      <w:r w:rsidR="004B120B">
        <w:t xml:space="preserve">not </w:t>
      </w:r>
      <w:r w:rsidRPr="00AF3362">
        <w:t>related to each other and were recruited from the Spanish population</w:t>
      </w:r>
      <w:r w:rsidR="0011475E">
        <w:t>. They were</w:t>
      </w:r>
      <w:r w:rsidR="00C16E61">
        <w:t xml:space="preserve"> </w:t>
      </w:r>
      <w:r w:rsidRPr="00AF3362">
        <w:t xml:space="preserve">health and administrative personnel from the health </w:t>
      </w:r>
      <w:r w:rsidR="00F44085" w:rsidRPr="00AF3362">
        <w:t>centres</w:t>
      </w:r>
      <w:r w:rsidRPr="00AF3362">
        <w:t xml:space="preserve"> </w:t>
      </w:r>
      <w:r w:rsidR="004306BA">
        <w:t xml:space="preserve">attended by the patients </w:t>
      </w:r>
      <w:r w:rsidR="00C129EB">
        <w:t>and</w:t>
      </w:r>
      <w:r w:rsidRPr="00AF3362">
        <w:t xml:space="preserve"> companions of the patients. A clinical interview was carried out </w:t>
      </w:r>
      <w:r w:rsidR="004B120B">
        <w:t>o</w:t>
      </w:r>
      <w:r w:rsidRPr="00AF3362">
        <w:t>n all of them to exclude other psychiatric patholog</w:t>
      </w:r>
      <w:r w:rsidR="004B120B">
        <w:t>ies</w:t>
      </w:r>
      <w:r w:rsidRPr="00AF3362">
        <w:t xml:space="preserve">. </w:t>
      </w:r>
      <w:bookmarkStart w:id="4" w:name="bookmark=id.2et92p0" w:colFirst="0" w:colLast="0"/>
      <w:bookmarkStart w:id="5" w:name="bookmark=id.3znysh7" w:colFirst="0" w:colLast="0"/>
      <w:bookmarkEnd w:id="4"/>
      <w:bookmarkEnd w:id="5"/>
    </w:p>
    <w:p w:rsidR="003E7904" w:rsidRPr="00AF3362" w:rsidRDefault="003E7904">
      <w:pPr>
        <w:spacing w:line="360" w:lineRule="auto"/>
        <w:jc w:val="both"/>
        <w:rPr>
          <w:highlight w:val="yellow"/>
        </w:rPr>
      </w:pPr>
    </w:p>
    <w:p w:rsidR="00692CBE" w:rsidRPr="00AF3362" w:rsidRDefault="00692CBE" w:rsidP="00692CBE">
      <w:pPr>
        <w:spacing w:line="360" w:lineRule="auto"/>
        <w:jc w:val="both"/>
      </w:pPr>
      <w:r w:rsidRPr="00AF3362">
        <w:t>Assessment instruments</w:t>
      </w:r>
    </w:p>
    <w:p w:rsidR="00692CBE" w:rsidRPr="00AF3362" w:rsidRDefault="00692CBE" w:rsidP="00692CBE">
      <w:pPr>
        <w:spacing w:line="360" w:lineRule="auto"/>
        <w:jc w:val="both"/>
      </w:pPr>
      <w:r w:rsidRPr="00AF3362">
        <w:t xml:space="preserve">Sociodemographic variables, personal and family history and data related to substance use were obtained through a clinical interview. In addition, in that first interview psychotic symptomatology was assessed using the Positive and Negative Syndrome Scale (PANSS).  </w:t>
      </w:r>
    </w:p>
    <w:p w:rsidR="00692CBE" w:rsidRPr="00AF3362" w:rsidRDefault="00692CBE" w:rsidP="00692CBE">
      <w:pPr>
        <w:spacing w:line="360" w:lineRule="auto"/>
        <w:ind w:firstLine="709"/>
        <w:jc w:val="both"/>
        <w:rPr>
          <w:bCs/>
        </w:rPr>
      </w:pPr>
    </w:p>
    <w:p w:rsidR="00692CBE" w:rsidRPr="00AF3362" w:rsidRDefault="00692CBE" w:rsidP="00692CBE">
      <w:pPr>
        <w:spacing w:line="360" w:lineRule="auto"/>
        <w:ind w:firstLine="709"/>
        <w:jc w:val="both"/>
        <w:rPr>
          <w:iCs/>
        </w:rPr>
      </w:pPr>
      <w:r w:rsidRPr="00AF3362">
        <w:rPr>
          <w:b/>
          <w:bCs/>
          <w:i/>
          <w:lang w:val="en-US"/>
        </w:rPr>
        <w:t xml:space="preserve">PANSS Scale (Positive and Negative Syndrome Scale). </w:t>
      </w:r>
      <w:r w:rsidRPr="00AF3362">
        <w:rPr>
          <w:iCs/>
        </w:rPr>
        <w:t>The Positive and Negative Syndrome Scale, developed by Kay, Fiszbein and Opler</w:t>
      </w:r>
      <w:r w:rsidRPr="00AF3362">
        <w:rPr>
          <w:b/>
          <w:bCs/>
          <w:i/>
        </w:rPr>
        <w:t xml:space="preserve"> </w:t>
      </w:r>
      <w:r w:rsidRPr="00AF3362">
        <w:rPr>
          <w:iCs/>
        </w:rPr>
        <w:t>(1987)</w:t>
      </w:r>
      <w:r w:rsidR="0022272E">
        <w:rPr>
          <w:iCs/>
        </w:rPr>
        <w:t xml:space="preserve">, the Spanish version of which was created </w:t>
      </w:r>
      <w:r w:rsidRPr="00AF3362">
        <w:rPr>
          <w:iCs/>
        </w:rPr>
        <w:t xml:space="preserve">by Peralta and Cuesta (1994), is one of the most frequently used tools for assessing symptoms in schizophrenic patients. It is a </w:t>
      </w:r>
      <w:r w:rsidR="008F3342">
        <w:rPr>
          <w:iCs/>
        </w:rPr>
        <w:t>clinician</w:t>
      </w:r>
      <w:r w:rsidRPr="00AF3362">
        <w:rPr>
          <w:iCs/>
        </w:rPr>
        <w:t xml:space="preserve">-administered scale </w:t>
      </w:r>
      <w:r w:rsidR="0022272E">
        <w:rPr>
          <w:iCs/>
        </w:rPr>
        <w:t>that</w:t>
      </w:r>
      <w:r w:rsidRPr="00AF3362">
        <w:rPr>
          <w:iCs/>
        </w:rPr>
        <w:t xml:space="preserve"> is completed based on a semi-structured interview</w:t>
      </w:r>
      <w:r w:rsidR="008F3342">
        <w:rPr>
          <w:iCs/>
        </w:rPr>
        <w:t>,</w:t>
      </w:r>
      <w:r w:rsidRPr="00AF3362">
        <w:rPr>
          <w:iCs/>
        </w:rPr>
        <w:t xml:space="preserve"> </w:t>
      </w:r>
      <w:r w:rsidR="008F3342">
        <w:rPr>
          <w:iCs/>
        </w:rPr>
        <w:t>which</w:t>
      </w:r>
      <w:r w:rsidRPr="00AF3362">
        <w:rPr>
          <w:iCs/>
        </w:rPr>
        <w:t xml:space="preserve"> takes approximately 45 minutes. In its original version, the PANSS consists </w:t>
      </w:r>
      <w:r w:rsidR="00160BCE" w:rsidRPr="00AF3362">
        <w:rPr>
          <w:iCs/>
        </w:rPr>
        <w:t>of</w:t>
      </w:r>
      <w:r w:rsidRPr="00AF3362">
        <w:rPr>
          <w:iCs/>
        </w:rPr>
        <w:t xml:space="preserve"> 30 items grouped into three factors: positive syndrome (which includes 7 items), negative syndrome (which also includes 7 items) and general psychopathology (which includes 16 items). In</w:t>
      </w:r>
      <w:r w:rsidR="008F3342">
        <w:rPr>
          <w:iCs/>
        </w:rPr>
        <w:t xml:space="preserve"> this study</w:t>
      </w:r>
      <w:r w:rsidRPr="00AF3362">
        <w:rPr>
          <w:iCs/>
        </w:rPr>
        <w:t xml:space="preserve">, in addition to using the PANSS total score, we also used </w:t>
      </w:r>
      <w:r w:rsidR="008F3342">
        <w:rPr>
          <w:iCs/>
        </w:rPr>
        <w:t xml:space="preserve">the </w:t>
      </w:r>
      <w:r w:rsidR="005E1D84">
        <w:rPr>
          <w:iCs/>
        </w:rPr>
        <w:t xml:space="preserve">three </w:t>
      </w:r>
      <w:r w:rsidRPr="00AF3362">
        <w:rPr>
          <w:iCs/>
        </w:rPr>
        <w:t xml:space="preserve">subscales (positive, negative and general psychopathology).  </w:t>
      </w:r>
    </w:p>
    <w:p w:rsidR="00692CBE" w:rsidRPr="00AF3362" w:rsidRDefault="00692CBE" w:rsidP="00692CBE">
      <w:pPr>
        <w:spacing w:line="360" w:lineRule="auto"/>
        <w:jc w:val="both"/>
      </w:pPr>
    </w:p>
    <w:p w:rsidR="00692CBE" w:rsidRPr="00AF3362" w:rsidRDefault="00692CBE" w:rsidP="00692CBE">
      <w:pPr>
        <w:shd w:val="clear" w:color="auto" w:fill="FFFFFF"/>
        <w:spacing w:before="240" w:after="240" w:line="360" w:lineRule="auto"/>
        <w:jc w:val="both"/>
        <w:rPr>
          <w:bCs/>
          <w:i/>
        </w:rPr>
      </w:pPr>
      <w:r w:rsidRPr="00AF3362">
        <w:rPr>
          <w:bCs/>
          <w:i/>
        </w:rPr>
        <w:t>Study procedure</w:t>
      </w:r>
    </w:p>
    <w:p w:rsidR="00692CBE" w:rsidRPr="00AF3362" w:rsidRDefault="00692CBE" w:rsidP="00692CBE">
      <w:pPr>
        <w:shd w:val="clear" w:color="auto" w:fill="FFFFFF"/>
        <w:spacing w:before="240" w:after="240" w:line="360" w:lineRule="auto"/>
        <w:jc w:val="both"/>
        <w:rPr>
          <w:bCs/>
        </w:rPr>
      </w:pPr>
      <w:r w:rsidRPr="00AF3362">
        <w:rPr>
          <w:bCs/>
          <w:iCs/>
        </w:rPr>
        <w:t>Inpatients and outpatients treated at d</w:t>
      </w:r>
      <w:r w:rsidR="00A4267F" w:rsidRPr="00AF3362">
        <w:rPr>
          <w:bCs/>
          <w:iCs/>
        </w:rPr>
        <w:t>ifferent mental</w:t>
      </w:r>
      <w:r w:rsidR="004D38DC">
        <w:rPr>
          <w:bCs/>
          <w:iCs/>
        </w:rPr>
        <w:t xml:space="preserve"> </w:t>
      </w:r>
      <w:r w:rsidR="00A4267F" w:rsidRPr="00AF3362">
        <w:rPr>
          <w:bCs/>
          <w:iCs/>
        </w:rPr>
        <w:t xml:space="preserve">health centres </w:t>
      </w:r>
      <w:r w:rsidR="004D38DC">
        <w:rPr>
          <w:bCs/>
          <w:iCs/>
        </w:rPr>
        <w:t>(</w:t>
      </w:r>
      <w:r w:rsidRPr="00AF3362">
        <w:rPr>
          <w:bCs/>
          <w:iCs/>
        </w:rPr>
        <w:t xml:space="preserve">University Hospital </w:t>
      </w:r>
      <w:r w:rsidRPr="00AF3362">
        <w:rPr>
          <w:bCs/>
        </w:rPr>
        <w:t xml:space="preserve">Fundación Alcorcón (Madrid), Ramón y Cajal Hospital (Madrid), </w:t>
      </w:r>
      <w:r w:rsidRPr="00AF3362">
        <w:rPr>
          <w:szCs w:val="22"/>
        </w:rPr>
        <w:t>Virgen de la Luz Hospital (Cuenca), University Hospital of Guadalajara</w:t>
      </w:r>
      <w:r w:rsidRPr="00AF3362">
        <w:rPr>
          <w:bCs/>
        </w:rPr>
        <w:t>, Nuestra Señora de La Paz Clinic (Madrid)</w:t>
      </w:r>
      <w:r w:rsidR="004D38DC">
        <w:rPr>
          <w:bCs/>
        </w:rPr>
        <w:t>)</w:t>
      </w:r>
      <w:r w:rsidRPr="00AF3362">
        <w:rPr>
          <w:bCs/>
        </w:rPr>
        <w:t xml:space="preserve">, who met </w:t>
      </w:r>
      <w:r w:rsidR="004D38DC">
        <w:rPr>
          <w:bCs/>
        </w:rPr>
        <w:t xml:space="preserve">the </w:t>
      </w:r>
      <w:r w:rsidRPr="00AF3362">
        <w:rPr>
          <w:bCs/>
        </w:rPr>
        <w:t xml:space="preserve">inclusion and exclusion criteria and </w:t>
      </w:r>
      <w:r w:rsidR="004D38DC">
        <w:rPr>
          <w:bCs/>
        </w:rPr>
        <w:t xml:space="preserve">were willing to </w:t>
      </w:r>
      <w:r w:rsidRPr="00AF3362">
        <w:rPr>
          <w:bCs/>
        </w:rPr>
        <w:t>participat</w:t>
      </w:r>
      <w:r w:rsidR="004D38DC">
        <w:rPr>
          <w:bCs/>
        </w:rPr>
        <w:t>e</w:t>
      </w:r>
      <w:r w:rsidRPr="00AF3362">
        <w:rPr>
          <w:bCs/>
        </w:rPr>
        <w:t xml:space="preserve"> in our study, were prospectively recruited and signed an informed consent. Cannabis dependent subjects were recruited from different Drug Treatment Centres </w:t>
      </w:r>
      <w:r w:rsidR="004D38DC">
        <w:rPr>
          <w:bCs/>
        </w:rPr>
        <w:t>in</w:t>
      </w:r>
      <w:r w:rsidRPr="00AF3362">
        <w:rPr>
          <w:bCs/>
        </w:rPr>
        <w:t xml:space="preserve"> the Community of Madrid (Majadahonda, Alcorcón, Arganzuela, Vallecas</w:t>
      </w:r>
      <w:r w:rsidR="00A4267F" w:rsidRPr="00AF3362">
        <w:rPr>
          <w:bCs/>
        </w:rPr>
        <w:t>, Latina</w:t>
      </w:r>
      <w:r w:rsidRPr="00AF3362">
        <w:rPr>
          <w:bCs/>
        </w:rPr>
        <w:t xml:space="preserve">). </w:t>
      </w:r>
    </w:p>
    <w:p w:rsidR="00692CBE" w:rsidRPr="00AF3362" w:rsidRDefault="00692CBE" w:rsidP="00692CBE">
      <w:pPr>
        <w:shd w:val="clear" w:color="auto" w:fill="FFFFFF"/>
        <w:spacing w:before="240" w:after="240" w:line="360" w:lineRule="auto"/>
        <w:jc w:val="both"/>
        <w:rPr>
          <w:bCs/>
        </w:rPr>
      </w:pPr>
      <w:r w:rsidRPr="00AF3362">
        <w:rPr>
          <w:bCs/>
        </w:rPr>
        <w:t xml:space="preserve">A total of 27 subjects were excluded </w:t>
      </w:r>
      <w:r w:rsidR="00492315">
        <w:rPr>
          <w:bCs/>
        </w:rPr>
        <w:t xml:space="preserve">either </w:t>
      </w:r>
      <w:r w:rsidRPr="00AF3362">
        <w:rPr>
          <w:bCs/>
        </w:rPr>
        <w:t xml:space="preserve">because they refused </w:t>
      </w:r>
      <w:r w:rsidR="00367CB7">
        <w:rPr>
          <w:bCs/>
        </w:rPr>
        <w:t xml:space="preserve">to </w:t>
      </w:r>
      <w:r w:rsidRPr="00AF3362">
        <w:rPr>
          <w:bCs/>
        </w:rPr>
        <w:t>participat</w:t>
      </w:r>
      <w:r w:rsidR="00367CB7">
        <w:rPr>
          <w:bCs/>
        </w:rPr>
        <w:t>e</w:t>
      </w:r>
      <w:r w:rsidRPr="00AF3362">
        <w:rPr>
          <w:bCs/>
        </w:rPr>
        <w:t xml:space="preserve"> in the study or </w:t>
      </w:r>
      <w:r w:rsidR="00367CB7">
        <w:rPr>
          <w:bCs/>
        </w:rPr>
        <w:t xml:space="preserve">to </w:t>
      </w:r>
      <w:r w:rsidRPr="00AF3362">
        <w:rPr>
          <w:bCs/>
        </w:rPr>
        <w:t xml:space="preserve">sign the informed consent.  </w:t>
      </w:r>
    </w:p>
    <w:p w:rsidR="00692CBE" w:rsidRPr="00AF3362" w:rsidRDefault="00692CBE" w:rsidP="00692CBE">
      <w:pPr>
        <w:shd w:val="clear" w:color="auto" w:fill="FFFFFF"/>
        <w:spacing w:before="240" w:after="240" w:line="360" w:lineRule="auto"/>
        <w:jc w:val="both"/>
        <w:rPr>
          <w:bCs/>
        </w:rPr>
      </w:pPr>
      <w:r w:rsidRPr="00AF3362">
        <w:rPr>
          <w:rFonts w:eastAsia="Calibri"/>
          <w:bCs/>
        </w:rPr>
        <w:t>DNA extraction and genotyping</w:t>
      </w:r>
    </w:p>
    <w:p w:rsidR="00547D10" w:rsidRPr="00AF3362" w:rsidRDefault="00692CBE" w:rsidP="00547D10">
      <w:pPr>
        <w:shd w:val="clear" w:color="auto" w:fill="FFFFFF"/>
        <w:spacing w:before="240" w:after="240" w:line="360" w:lineRule="auto"/>
        <w:jc w:val="both"/>
        <w:rPr>
          <w:rFonts w:eastAsiaTheme="minorHAnsi"/>
          <w:lang w:eastAsia="en-US"/>
        </w:rPr>
      </w:pPr>
      <w:r w:rsidRPr="00AF3362">
        <w:rPr>
          <w:rFonts w:eastAsiaTheme="minorHAnsi"/>
          <w:lang w:eastAsia="en-US"/>
        </w:rPr>
        <w:t xml:space="preserve">DNA was obtained from leukocytes present in peripheral </w:t>
      </w:r>
      <w:r w:rsidR="009A0382">
        <w:rPr>
          <w:rFonts w:eastAsiaTheme="minorHAnsi"/>
          <w:lang w:eastAsia="en-US"/>
        </w:rPr>
        <w:t xml:space="preserve">blood samples </w:t>
      </w:r>
      <w:r w:rsidRPr="00AF3362">
        <w:rPr>
          <w:rFonts w:eastAsiaTheme="minorHAnsi"/>
          <w:lang w:eastAsia="en-US"/>
        </w:rPr>
        <w:t>anticoagulated with EDTA, using the Sambrook Method and the DN</w:t>
      </w:r>
      <w:r w:rsidR="00A4267F" w:rsidRPr="00AF3362">
        <w:rPr>
          <w:rFonts w:eastAsiaTheme="minorHAnsi"/>
          <w:lang w:eastAsia="en-US"/>
        </w:rPr>
        <w:t>A</w:t>
      </w:r>
      <w:r w:rsidRPr="00AF3362">
        <w:rPr>
          <w:rFonts w:eastAsiaTheme="minorHAnsi"/>
          <w:lang w:eastAsia="en-US"/>
        </w:rPr>
        <w:t xml:space="preserve">easy Blood &amp; Tissue kit (Qiagen). </w:t>
      </w:r>
    </w:p>
    <w:p w:rsidR="003E7904" w:rsidRPr="00AF3362" w:rsidRDefault="00BA0F84" w:rsidP="00547D10">
      <w:pPr>
        <w:shd w:val="clear" w:color="auto" w:fill="FFFFFF"/>
        <w:spacing w:before="240" w:after="240" w:line="360" w:lineRule="auto"/>
        <w:jc w:val="both"/>
      </w:pPr>
      <w:r w:rsidRPr="00AF3362">
        <w:t xml:space="preserve">After extraction of DNA from peripheral blood, analysis of the different polymorphisms was carried out using PCR-based methods. The genotyping of the rs324420 polymorphism in the </w:t>
      </w:r>
      <w:r w:rsidRPr="00AF3362">
        <w:rPr>
          <w:i/>
        </w:rPr>
        <w:t>FAAH</w:t>
      </w:r>
      <w:r w:rsidRPr="00AF3362">
        <w:t xml:space="preserve"> gene was performed using the SSCP (Single Strand Conformation Polymorphism) method (GeneGel Excel 12.5/24 Kit, GE Healthcare) (See Table 1 for primer sequences).</w:t>
      </w:r>
      <w:bookmarkStart w:id="6" w:name="bookmark=id.tyjcwt" w:colFirst="0" w:colLast="0"/>
      <w:bookmarkEnd w:id="6"/>
      <w:r w:rsidRPr="00AF3362">
        <w:t xml:space="preserve"> The genotyping of the (AAT) </w:t>
      </w:r>
      <w:r w:rsidRPr="00AF3362">
        <w:rPr>
          <w:vertAlign w:val="subscript"/>
        </w:rPr>
        <w:t>7-15</w:t>
      </w:r>
      <w:r w:rsidRPr="00AF3362">
        <w:t xml:space="preserve"> 3 'UTR polymorphism was performed using a capillary electrophoresis fragment analysis technique (ABI Prism 310 Genetic Analyzer - Applied Biosystems) (See Table 1 for primer sequences). The standard GeneScan-500 LIZ, was used as a size marker (Applied Biosystems). Analysis of the results was carried out using GeneMapper.4.0 software. The genotyping of the rs35761398 and rs12744386 polymorphisms in the </w:t>
      </w:r>
      <w:r w:rsidRPr="00AF3362">
        <w:rPr>
          <w:i/>
        </w:rPr>
        <w:t xml:space="preserve">CNR2 </w:t>
      </w:r>
      <w:r w:rsidRPr="00AF3362">
        <w:t>gene was performed using allelic discrimination with TaqMan probes in an iCycler Thermal Cycler (Bio-Rad) (see Table 1 for primer and TaqMan probe sequences)</w:t>
      </w:r>
      <w:bookmarkStart w:id="7" w:name="bookmark=id.3dy6vkm" w:colFirst="0" w:colLast="0"/>
      <w:bookmarkEnd w:id="7"/>
      <w:r w:rsidRPr="00AF3362">
        <w:t>.</w:t>
      </w:r>
    </w:p>
    <w:p w:rsidR="003E7904" w:rsidRPr="00AF3362" w:rsidRDefault="003E7904">
      <w:pPr>
        <w:shd w:val="clear" w:color="auto" w:fill="FFFFFF"/>
        <w:tabs>
          <w:tab w:val="left" w:pos="5490"/>
        </w:tabs>
        <w:spacing w:line="360" w:lineRule="auto"/>
        <w:ind w:right="60"/>
        <w:jc w:val="both"/>
        <w:rPr>
          <w:i/>
        </w:rPr>
      </w:pPr>
    </w:p>
    <w:p w:rsidR="004E7426" w:rsidRPr="00AF3362" w:rsidRDefault="004E7426" w:rsidP="004E7426">
      <w:pPr>
        <w:spacing w:line="360" w:lineRule="auto"/>
        <w:jc w:val="both"/>
      </w:pPr>
      <w:r w:rsidRPr="00AF3362">
        <w:t>Ethical concerns</w:t>
      </w:r>
    </w:p>
    <w:p w:rsidR="004E7426" w:rsidRPr="00AF3362" w:rsidRDefault="004E7426" w:rsidP="004E7426">
      <w:pPr>
        <w:spacing w:line="360" w:lineRule="auto"/>
        <w:jc w:val="both"/>
      </w:pPr>
      <w:r w:rsidRPr="00AF3362">
        <w:t>Participat</w:t>
      </w:r>
      <w:r w:rsidR="003A4B09">
        <w:t>ion</w:t>
      </w:r>
      <w:r w:rsidRPr="00AF3362">
        <w:t xml:space="preserve"> in this study was voluntary and all participants gave their written consent to </w:t>
      </w:r>
      <w:r w:rsidR="005B3A9B">
        <w:t>taking</w:t>
      </w:r>
      <w:r w:rsidR="003A4B09">
        <w:t xml:space="preserve"> part</w:t>
      </w:r>
      <w:r w:rsidRPr="00AF3362">
        <w:t xml:space="preserve"> in the project. The study was approved by the Clinical Research Ethics Committee of the University Hospital Fundación Alcorcón (Madrid).</w:t>
      </w:r>
    </w:p>
    <w:p w:rsidR="003E7904" w:rsidRPr="00AF3362" w:rsidRDefault="003E7904">
      <w:pPr>
        <w:spacing w:line="360" w:lineRule="auto"/>
        <w:jc w:val="both"/>
        <w:rPr>
          <w:b/>
          <w:highlight w:val="cyan"/>
        </w:rPr>
      </w:pPr>
    </w:p>
    <w:p w:rsidR="003E7904" w:rsidRPr="00AF3362" w:rsidRDefault="003E7904">
      <w:pPr>
        <w:spacing w:line="360" w:lineRule="auto"/>
        <w:jc w:val="both"/>
        <w:rPr>
          <w:b/>
          <w:highlight w:val="cyan"/>
        </w:rPr>
      </w:pPr>
    </w:p>
    <w:p w:rsidR="003E7904" w:rsidRPr="00AF3362" w:rsidRDefault="00BA0F84">
      <w:pPr>
        <w:spacing w:line="360" w:lineRule="auto"/>
        <w:jc w:val="both"/>
      </w:pPr>
      <w:r w:rsidRPr="00AF3362">
        <w:t xml:space="preserve">Statistical analyses </w:t>
      </w:r>
    </w:p>
    <w:p w:rsidR="003E7904" w:rsidRPr="00AF3362" w:rsidRDefault="003E7904">
      <w:pPr>
        <w:spacing w:line="360" w:lineRule="auto"/>
        <w:jc w:val="both"/>
      </w:pPr>
    </w:p>
    <w:p w:rsidR="003E7904" w:rsidRPr="00AF3362" w:rsidRDefault="00BA0F84">
      <w:pPr>
        <w:spacing w:line="360" w:lineRule="auto"/>
        <w:jc w:val="both"/>
      </w:pPr>
      <w:r w:rsidRPr="00AF3362">
        <w:t xml:space="preserve">Genotype distribution was compared to the predictable value from Hardy-Weinberg equilibrium. The control and case </w:t>
      </w:r>
      <w:r w:rsidR="003271B2">
        <w:t>group</w:t>
      </w:r>
      <w:r w:rsidR="00341D50">
        <w:t>s</w:t>
      </w:r>
      <w:r w:rsidRPr="00AF3362">
        <w:t xml:space="preserve"> w</w:t>
      </w:r>
      <w:r w:rsidR="00341D50">
        <w:t>ere</w:t>
      </w:r>
      <w:r w:rsidRPr="00AF3362">
        <w:t xml:space="preserve"> at Hardy-Weinberg equilibrium in terms of allele and genotype frequencies for the polymorphisms studied </w:t>
      </w:r>
      <w:bookmarkStart w:id="8" w:name="bookmark=id.1t3h5sf" w:colFirst="0" w:colLast="0"/>
      <w:bookmarkEnd w:id="8"/>
      <w:r w:rsidRPr="00AF3362">
        <w:t>(</w:t>
      </w:r>
      <w:r w:rsidR="0024011C" w:rsidRPr="00AF3362">
        <w:t>Table 2</w:t>
      </w:r>
      <w:r w:rsidRPr="00AF3362">
        <w:t>).</w:t>
      </w:r>
    </w:p>
    <w:p w:rsidR="003E7904" w:rsidRPr="00AF3362" w:rsidRDefault="00BA0F84">
      <w:pPr>
        <w:spacing w:line="360" w:lineRule="auto"/>
        <w:jc w:val="both"/>
      </w:pPr>
      <w:r w:rsidRPr="00AF3362">
        <w:t>The nine alleles containing (AAT)</w:t>
      </w:r>
      <w:r w:rsidRPr="00AF3362">
        <w:rPr>
          <w:vertAlign w:val="subscript"/>
        </w:rPr>
        <w:t>7-15</w:t>
      </w:r>
      <w:r w:rsidRPr="00AF3362">
        <w:t xml:space="preserve"> repeat sequences were distributed in accordance with the article by Comings et al. (</w:t>
      </w:r>
      <w:r w:rsidR="00A4267F" w:rsidRPr="00AF3362">
        <w:t>1997</w:t>
      </w:r>
      <w:r w:rsidRPr="00AF3362">
        <w:t xml:space="preserve">) in a group of short alleles with less than 11 AAT triplet repeats (genotype &lt;5) and another group of long alleles </w:t>
      </w:r>
      <w:r w:rsidRPr="00AF3362">
        <w:rPr>
          <w:u w:val="single"/>
        </w:rPr>
        <w:t>&gt;</w:t>
      </w:r>
      <w:r w:rsidRPr="00AF3362">
        <w:t xml:space="preserve"> 11 repeats (genotype </w:t>
      </w:r>
      <w:r w:rsidRPr="00AF3362">
        <w:rPr>
          <w:u w:val="single"/>
        </w:rPr>
        <w:t>&gt;</w:t>
      </w:r>
      <w:r w:rsidRPr="00AF3362">
        <w:t xml:space="preserve"> 5). Thus, the patients and controls were subdivided into three groups according to their genotype: individuals with &lt;5/&lt;5, </w:t>
      </w:r>
      <w:r w:rsidRPr="00AF3362">
        <w:rPr>
          <w:u w:val="single"/>
        </w:rPr>
        <w:t>&gt;</w:t>
      </w:r>
      <w:r w:rsidRPr="00AF3362">
        <w:t xml:space="preserve"> 5/</w:t>
      </w:r>
      <w:r w:rsidRPr="00AF3362">
        <w:rPr>
          <w:u w:val="single"/>
        </w:rPr>
        <w:t>&gt;</w:t>
      </w:r>
      <w:r w:rsidRPr="00AF3362">
        <w:t xml:space="preserve"> 5, and &lt;5/</w:t>
      </w:r>
      <w:r w:rsidRPr="00AF3362">
        <w:rPr>
          <w:u w:val="single"/>
        </w:rPr>
        <w:t>&gt;</w:t>
      </w:r>
      <w:r w:rsidRPr="00AF3362">
        <w:t xml:space="preserve"> 5. These data were used as qualitative variables. The hypothesis of an association between genotypes and groups was tested using Pearson’s chi-squared test and where cell sizes were equal to or smaller than 5, Fisher´s exact test was used. Bonferroni correction was applied. </w:t>
      </w:r>
    </w:p>
    <w:p w:rsidR="003E7904" w:rsidRPr="00AF3362" w:rsidRDefault="00BA0F84">
      <w:pPr>
        <w:pBdr>
          <w:top w:val="nil"/>
          <w:left w:val="nil"/>
          <w:bottom w:val="nil"/>
          <w:right w:val="nil"/>
          <w:between w:val="nil"/>
        </w:pBdr>
        <w:spacing w:after="120" w:line="360" w:lineRule="auto"/>
        <w:jc w:val="both"/>
      </w:pPr>
      <w:r w:rsidRPr="00AF3362">
        <w:t>A two-sided P-value test was used and P-values of &lt; 0.05 were considered statistically significant. The analysis was carried out using OpenEpi (Open Source Epidemiologic Statistics for Public Health) online software.</w:t>
      </w:r>
    </w:p>
    <w:p w:rsidR="003E7904" w:rsidRPr="00AF3362" w:rsidRDefault="003E7904">
      <w:pPr>
        <w:pBdr>
          <w:top w:val="nil"/>
          <w:left w:val="nil"/>
          <w:bottom w:val="nil"/>
          <w:right w:val="nil"/>
          <w:between w:val="nil"/>
        </w:pBdr>
        <w:spacing w:after="120" w:line="360" w:lineRule="auto"/>
        <w:ind w:left="283"/>
        <w:jc w:val="both"/>
      </w:pPr>
    </w:p>
    <w:p w:rsidR="003E7904" w:rsidRPr="00AF3362" w:rsidRDefault="00BA0F84">
      <w:pPr>
        <w:spacing w:line="360" w:lineRule="auto"/>
        <w:jc w:val="both"/>
        <w:rPr>
          <w:b/>
        </w:rPr>
      </w:pPr>
      <w:r w:rsidRPr="00AF3362">
        <w:rPr>
          <w:b/>
        </w:rPr>
        <w:t>Results</w:t>
      </w:r>
    </w:p>
    <w:p w:rsidR="003E7904" w:rsidRPr="00AF3362" w:rsidRDefault="00BA0F84">
      <w:pPr>
        <w:spacing w:line="360" w:lineRule="auto"/>
        <w:jc w:val="both"/>
      </w:pPr>
      <w:bookmarkStart w:id="9" w:name="bookmark=id.4d34og8" w:colFirst="0" w:colLast="0"/>
      <w:bookmarkEnd w:id="9"/>
      <w:r w:rsidRPr="00AF3362">
        <w:t xml:space="preserve">Sociodemographic </w:t>
      </w:r>
      <w:r w:rsidR="00CC5155" w:rsidRPr="00AF3362">
        <w:t xml:space="preserve">and clinical </w:t>
      </w:r>
      <w:r w:rsidRPr="00AF3362">
        <w:t>data are summarized in table</w:t>
      </w:r>
      <w:r w:rsidR="00031FCB">
        <w:t>s</w:t>
      </w:r>
      <w:r w:rsidRPr="00AF3362">
        <w:t xml:space="preserve"> </w:t>
      </w:r>
      <w:r w:rsidR="00CC5155" w:rsidRPr="00AF3362">
        <w:t>3 and 4</w:t>
      </w:r>
      <w:r w:rsidRPr="00AF3362">
        <w:t>. No statistically significant differences were observed in any of the polymorphic variants studied in the population analysis based on variables such as sex or age at initiation of cannabis use or psychotic symptoms.</w:t>
      </w:r>
    </w:p>
    <w:p w:rsidR="003E7904" w:rsidRPr="00AF3362" w:rsidRDefault="003E7904">
      <w:pPr>
        <w:spacing w:line="360" w:lineRule="auto"/>
        <w:jc w:val="both"/>
      </w:pPr>
    </w:p>
    <w:p w:rsidR="003E7904" w:rsidRPr="00AF3362" w:rsidRDefault="00BA0F84">
      <w:pPr>
        <w:spacing w:line="360" w:lineRule="auto"/>
        <w:jc w:val="both"/>
        <w:rPr>
          <w:i/>
        </w:rPr>
      </w:pPr>
      <w:bookmarkStart w:id="10" w:name="bookmark=id.2s8eyo1" w:colFirst="0" w:colLast="0"/>
      <w:bookmarkEnd w:id="10"/>
      <w:r w:rsidRPr="00AF3362">
        <w:rPr>
          <w:i/>
        </w:rPr>
        <w:t xml:space="preserve">CNR1 </w:t>
      </w:r>
    </w:p>
    <w:p w:rsidR="003E7904" w:rsidRPr="00AF3362" w:rsidRDefault="00BA0F84">
      <w:pPr>
        <w:spacing w:line="360" w:lineRule="auto"/>
        <w:jc w:val="both"/>
        <w:rPr>
          <w:highlight w:val="white"/>
        </w:rPr>
      </w:pPr>
      <w:r w:rsidRPr="00AF3362">
        <w:t>Regarding the (AAT)</w:t>
      </w:r>
      <w:r w:rsidRPr="00AF3362">
        <w:rPr>
          <w:vertAlign w:val="subscript"/>
        </w:rPr>
        <w:t>7-15</w:t>
      </w:r>
      <w:r w:rsidRPr="00AF3362">
        <w:t xml:space="preserve"> 3'UTR polymorphism in the </w:t>
      </w:r>
      <w:r w:rsidRPr="00AF3362">
        <w:rPr>
          <w:i/>
        </w:rPr>
        <w:t xml:space="preserve">CNR1 </w:t>
      </w:r>
      <w:r w:rsidRPr="00AF3362">
        <w:t xml:space="preserve">gene, we did not find statistically significant differences between </w:t>
      </w:r>
      <w:r w:rsidR="00D475EE">
        <w:t xml:space="preserve">the </w:t>
      </w:r>
      <w:r w:rsidRPr="00AF3362">
        <w:t>schizophrenic, dual and cannabis group</w:t>
      </w:r>
      <w:r w:rsidR="00A4267F" w:rsidRPr="00AF3362">
        <w:t>s</w:t>
      </w:r>
      <w:r w:rsidRPr="00AF3362">
        <w:t xml:space="preserve"> and the control population when allele and gen</w:t>
      </w:r>
      <w:r w:rsidR="004C537C" w:rsidRPr="00AF3362">
        <w:t>otype frequencies were analysed (Table 5).</w:t>
      </w:r>
      <w:r w:rsidRPr="00AF3362">
        <w:rPr>
          <w:highlight w:val="white"/>
        </w:rPr>
        <w:t xml:space="preserve">  </w:t>
      </w:r>
    </w:p>
    <w:p w:rsidR="003E7904" w:rsidRPr="00AF3362" w:rsidRDefault="003E7904">
      <w:pPr>
        <w:spacing w:line="360" w:lineRule="auto"/>
        <w:jc w:val="both"/>
        <w:rPr>
          <w:b/>
        </w:rPr>
      </w:pPr>
    </w:p>
    <w:p w:rsidR="003E7904" w:rsidRPr="00AF3362" w:rsidRDefault="00BA0F84">
      <w:pPr>
        <w:spacing w:line="360" w:lineRule="auto"/>
        <w:jc w:val="both"/>
        <w:rPr>
          <w:i/>
        </w:rPr>
      </w:pPr>
      <w:r w:rsidRPr="00AF3362">
        <w:rPr>
          <w:i/>
        </w:rPr>
        <w:t>FAAH</w:t>
      </w:r>
    </w:p>
    <w:p w:rsidR="003E7904" w:rsidRPr="00AF3362" w:rsidRDefault="00BA0F84">
      <w:pPr>
        <w:spacing w:line="360" w:lineRule="auto"/>
        <w:jc w:val="both"/>
        <w:rPr>
          <w:highlight w:val="white"/>
        </w:rPr>
      </w:pPr>
      <w:r w:rsidRPr="00AF3362">
        <w:rPr>
          <w:highlight w:val="white"/>
        </w:rPr>
        <w:t xml:space="preserve">Regarding the rs324420 polymorphism in the </w:t>
      </w:r>
      <w:r w:rsidRPr="00AF3362">
        <w:rPr>
          <w:i/>
          <w:highlight w:val="white"/>
        </w:rPr>
        <w:t>FAAH</w:t>
      </w:r>
      <w:r w:rsidRPr="00AF3362">
        <w:rPr>
          <w:highlight w:val="white"/>
        </w:rPr>
        <w:t xml:space="preserve"> gene, no</w:t>
      </w:r>
      <w:r w:rsidR="00D475EE">
        <w:rPr>
          <w:highlight w:val="white"/>
        </w:rPr>
        <w:t>n-</w:t>
      </w:r>
      <w:r w:rsidRPr="00AF3362">
        <w:rPr>
          <w:highlight w:val="white"/>
        </w:rPr>
        <w:t xml:space="preserve">statistically significant differences were found between the control population and </w:t>
      </w:r>
      <w:r w:rsidR="00FF2A26">
        <w:rPr>
          <w:highlight w:val="white"/>
        </w:rPr>
        <w:t xml:space="preserve">both </w:t>
      </w:r>
      <w:r w:rsidRPr="00AF3362">
        <w:rPr>
          <w:highlight w:val="white"/>
        </w:rPr>
        <w:t xml:space="preserve">subjects with schizophrenia </w:t>
      </w:r>
      <w:r w:rsidR="00FF2A26">
        <w:rPr>
          <w:highlight w:val="white"/>
        </w:rPr>
        <w:t>and</w:t>
      </w:r>
      <w:r w:rsidRPr="00AF3362">
        <w:rPr>
          <w:highlight w:val="white"/>
        </w:rPr>
        <w:t xml:space="preserve"> comorbid schizophrenia and cannabis dependence when comparing genotype </w:t>
      </w:r>
      <w:r w:rsidR="00D475EE">
        <w:rPr>
          <w:highlight w:val="white"/>
        </w:rPr>
        <w:t>and</w:t>
      </w:r>
      <w:r w:rsidRPr="00AF3362">
        <w:rPr>
          <w:highlight w:val="white"/>
        </w:rPr>
        <w:t xml:space="preserve"> allele frequencies</w:t>
      </w:r>
      <w:r w:rsidR="00A4267F" w:rsidRPr="00AF3362">
        <w:rPr>
          <w:highlight w:val="white"/>
        </w:rPr>
        <w:t xml:space="preserve"> (Table 5)</w:t>
      </w:r>
      <w:r w:rsidRPr="00AF3362">
        <w:rPr>
          <w:highlight w:val="white"/>
        </w:rPr>
        <w:t>. Assuming an overdominance model, statistically significant differences were found between the cannabis dependent</w:t>
      </w:r>
      <w:r w:rsidR="00D475EE">
        <w:rPr>
          <w:highlight w:val="white"/>
        </w:rPr>
        <w:t xml:space="preserve"> subjects</w:t>
      </w:r>
      <w:r w:rsidRPr="00AF3362">
        <w:rPr>
          <w:highlight w:val="white"/>
        </w:rPr>
        <w:t xml:space="preserve"> and </w:t>
      </w:r>
      <w:r w:rsidR="00D475EE">
        <w:rPr>
          <w:highlight w:val="white"/>
        </w:rPr>
        <w:t xml:space="preserve">the </w:t>
      </w:r>
      <w:r w:rsidRPr="00AF3362">
        <w:rPr>
          <w:highlight w:val="white"/>
        </w:rPr>
        <w:t>control population (Table</w:t>
      </w:r>
      <w:r w:rsidR="004C537C" w:rsidRPr="00AF3362">
        <w:rPr>
          <w:highlight w:val="white"/>
        </w:rPr>
        <w:t xml:space="preserve"> 6</w:t>
      </w:r>
      <w:r w:rsidRPr="00AF3362">
        <w:rPr>
          <w:highlight w:val="white"/>
        </w:rPr>
        <w:t>).</w:t>
      </w:r>
    </w:p>
    <w:p w:rsidR="003E7904" w:rsidRPr="00AF3362" w:rsidRDefault="003E7904">
      <w:pPr>
        <w:spacing w:line="360" w:lineRule="auto"/>
        <w:jc w:val="both"/>
        <w:rPr>
          <w:highlight w:val="white"/>
        </w:rPr>
      </w:pPr>
    </w:p>
    <w:p w:rsidR="003E7904" w:rsidRPr="00AF3362" w:rsidRDefault="00BA0F84">
      <w:pPr>
        <w:spacing w:line="360" w:lineRule="auto"/>
        <w:jc w:val="both"/>
        <w:rPr>
          <w:i/>
          <w:highlight w:val="red"/>
        </w:rPr>
      </w:pPr>
      <w:r w:rsidRPr="00AF3362">
        <w:rPr>
          <w:i/>
        </w:rPr>
        <w:t>CNR2</w:t>
      </w:r>
    </w:p>
    <w:p w:rsidR="003E7904" w:rsidRPr="00AF3362" w:rsidRDefault="00BA0F84">
      <w:pPr>
        <w:spacing w:line="360" w:lineRule="auto"/>
        <w:jc w:val="both"/>
      </w:pPr>
      <w:r w:rsidRPr="00AF3362">
        <w:t>Regarding the analysis of the rs35761398 polymorphism in</w:t>
      </w:r>
      <w:r w:rsidR="00A4267F" w:rsidRPr="00AF3362">
        <w:t xml:space="preserve"> the</w:t>
      </w:r>
      <w:r w:rsidRPr="00AF3362">
        <w:t xml:space="preserve"> </w:t>
      </w:r>
      <w:r w:rsidRPr="00AF3362">
        <w:rPr>
          <w:i/>
        </w:rPr>
        <w:t>CNR2</w:t>
      </w:r>
      <w:r w:rsidRPr="00AF3362">
        <w:t xml:space="preserve"> gene, when we compared the dual group with the schizophrenia and control groups, statistically significant deviations in genotype frequencies were found (Table</w:t>
      </w:r>
      <w:r w:rsidR="004C537C" w:rsidRPr="00AF3362">
        <w:t xml:space="preserve"> 7</w:t>
      </w:r>
      <w:r w:rsidRPr="00AF3362">
        <w:t xml:space="preserve">). Assuming a dominant model for the less frequent allele (TT), differences in the presence of TT were statistically significant when we compared the dual group </w:t>
      </w:r>
      <w:r w:rsidR="00822487">
        <w:t>to the</w:t>
      </w:r>
      <w:r w:rsidRPr="00AF3362">
        <w:t xml:space="preserve"> controls. </w:t>
      </w:r>
      <w:r w:rsidR="00661EC2">
        <w:t>In both cannabis users and controls, n</w:t>
      </w:r>
      <w:r w:rsidRPr="00AF3362">
        <w:t xml:space="preserve">o statistically significant differences were found in genotype and allele frequencies between </w:t>
      </w:r>
      <w:r w:rsidR="007B0FFF">
        <w:t xml:space="preserve">the </w:t>
      </w:r>
      <w:r w:rsidRPr="00AF3362">
        <w:t xml:space="preserve">rs35761398 and rs12744386 polymorphisms. </w:t>
      </w:r>
      <w:r w:rsidR="00A4267F" w:rsidRPr="00AF3362">
        <w:t xml:space="preserve">There was an interaction between </w:t>
      </w:r>
      <w:r w:rsidR="00DC744B">
        <w:t xml:space="preserve">the </w:t>
      </w:r>
      <w:r w:rsidR="00A4267F" w:rsidRPr="00AF3362">
        <w:t xml:space="preserve">rs35761398 polymorphism in the </w:t>
      </w:r>
      <w:r w:rsidR="00A4267F" w:rsidRPr="00AF3362">
        <w:rPr>
          <w:i/>
        </w:rPr>
        <w:t>CNR2</w:t>
      </w:r>
      <w:r w:rsidR="00A4267F" w:rsidRPr="00AF3362">
        <w:t xml:space="preserve"> gene</w:t>
      </w:r>
      <w:r w:rsidR="00A4267F" w:rsidRPr="00AF3362">
        <w:rPr>
          <w:highlight w:val="white"/>
        </w:rPr>
        <w:t xml:space="preserve"> and </w:t>
      </w:r>
      <w:r w:rsidR="00DC744B">
        <w:rPr>
          <w:highlight w:val="white"/>
        </w:rPr>
        <w:t xml:space="preserve">the </w:t>
      </w:r>
      <w:r w:rsidR="00A4267F" w:rsidRPr="00AF3362">
        <w:rPr>
          <w:highlight w:val="white"/>
        </w:rPr>
        <w:t xml:space="preserve">rs324420 polymorphism in the </w:t>
      </w:r>
      <w:r w:rsidR="00A4267F" w:rsidRPr="00AF3362">
        <w:rPr>
          <w:i/>
          <w:highlight w:val="white"/>
        </w:rPr>
        <w:t>FAAH</w:t>
      </w:r>
      <w:r w:rsidR="00A4267F" w:rsidRPr="00AF3362">
        <w:rPr>
          <w:highlight w:val="white"/>
        </w:rPr>
        <w:t xml:space="preserve"> gene</w:t>
      </w:r>
      <w:r w:rsidR="00A4267F" w:rsidRPr="00AF3362">
        <w:t xml:space="preserve"> (Table 8).</w:t>
      </w:r>
    </w:p>
    <w:p w:rsidR="00480C1C" w:rsidRPr="00AF3362" w:rsidRDefault="00C73FB7" w:rsidP="00480C1C">
      <w:pPr>
        <w:spacing w:line="360" w:lineRule="auto"/>
        <w:jc w:val="both"/>
      </w:pPr>
      <w:r>
        <w:t>Literature on</w:t>
      </w:r>
      <w:r w:rsidR="00480C1C" w:rsidRPr="00AF3362">
        <w:t xml:space="preserve"> the rs35761398 polymorphism places its origin in linkage disequilibrium within this gene. The </w:t>
      </w:r>
      <w:r w:rsidR="00C02951">
        <w:t xml:space="preserve">functional </w:t>
      </w:r>
      <w:r w:rsidR="00480C1C" w:rsidRPr="00AF3362">
        <w:t xml:space="preserve">linking implication of these polymorphisms </w:t>
      </w:r>
      <w:r w:rsidR="008008FB">
        <w:t>in</w:t>
      </w:r>
      <w:r w:rsidR="00480C1C" w:rsidRPr="00AF3362">
        <w:t xml:space="preserve"> receptor action and the descriptions of infrequent haplotypes in other populations w</w:t>
      </w:r>
      <w:r w:rsidR="00C02951">
        <w:t>as</w:t>
      </w:r>
      <w:r w:rsidR="00480C1C" w:rsidRPr="00AF3362">
        <w:t xml:space="preserve"> the reason for genotyping this second polymorphism in</w:t>
      </w:r>
      <w:r w:rsidR="00A4267F" w:rsidRPr="00AF3362">
        <w:t xml:space="preserve"> the</w:t>
      </w:r>
      <w:r w:rsidR="00480C1C" w:rsidRPr="00AF3362">
        <w:t xml:space="preserve"> </w:t>
      </w:r>
      <w:r w:rsidR="00480C1C" w:rsidRPr="00AF3362">
        <w:rPr>
          <w:i/>
        </w:rPr>
        <w:t xml:space="preserve">CNR2 </w:t>
      </w:r>
      <w:r w:rsidR="00D760A6" w:rsidRPr="00AF3362">
        <w:t>gene</w:t>
      </w:r>
      <w:r w:rsidR="00D760A6">
        <w:t xml:space="preserve">, </w:t>
      </w:r>
      <w:r w:rsidR="00480C1C" w:rsidRPr="00AF3362">
        <w:t xml:space="preserve">in order to determine </w:t>
      </w:r>
      <w:r w:rsidR="00C02951">
        <w:t>whether</w:t>
      </w:r>
      <w:r w:rsidR="00480C1C" w:rsidRPr="00AF3362">
        <w:t xml:space="preserve"> those haplotypes were present in the sample included in </w:t>
      </w:r>
      <w:r w:rsidR="00C02951">
        <w:t xml:space="preserve">this </w:t>
      </w:r>
      <w:r w:rsidR="00480C1C" w:rsidRPr="00AF3362">
        <w:t xml:space="preserve">study. They were genotyped in both the control group and </w:t>
      </w:r>
      <w:r w:rsidR="00BA6FF8">
        <w:t>the</w:t>
      </w:r>
      <w:r w:rsidR="00480C1C" w:rsidRPr="00AF3362">
        <w:t xml:space="preserve"> dual diagnosed patients</w:t>
      </w:r>
      <w:r w:rsidR="009847D8">
        <w:t>. T</w:t>
      </w:r>
      <w:r w:rsidR="00BA6FF8">
        <w:t xml:space="preserve">he </w:t>
      </w:r>
      <w:r w:rsidR="00480C1C" w:rsidRPr="00AF3362">
        <w:t xml:space="preserve">haplotype linkage between </w:t>
      </w:r>
      <w:r w:rsidR="007D4FE4">
        <w:t xml:space="preserve">the </w:t>
      </w:r>
      <w:r w:rsidR="00480C1C" w:rsidRPr="00AF3362">
        <w:t xml:space="preserve">rs12744386 and rs35761398 polymorphisms in the population </w:t>
      </w:r>
      <w:r w:rsidR="009847D8">
        <w:t xml:space="preserve">studied </w:t>
      </w:r>
      <w:r w:rsidR="00480C1C" w:rsidRPr="00AF3362">
        <w:t xml:space="preserve">was 100%, </w:t>
      </w:r>
      <w:r w:rsidR="00BA6FF8">
        <w:t xml:space="preserve">with the following </w:t>
      </w:r>
      <w:r w:rsidR="00480C1C" w:rsidRPr="00AF3362">
        <w:t>haplotypes</w:t>
      </w:r>
      <w:r w:rsidR="00BA6FF8">
        <w:t xml:space="preserve"> found to be present</w:t>
      </w:r>
      <w:r w:rsidR="00480C1C" w:rsidRPr="00AF3362">
        <w:t xml:space="preserve">: C - CC y T - TT. Alternative haplotypes, that is, T - CC </w:t>
      </w:r>
      <w:r w:rsidR="00486FC6" w:rsidRPr="00AF3362">
        <w:t>and</w:t>
      </w:r>
      <w:r w:rsidR="00480C1C" w:rsidRPr="00AF3362">
        <w:t xml:space="preserve"> C - TT, </w:t>
      </w:r>
      <w:r w:rsidR="0034723F">
        <w:t xml:space="preserve">were not </w:t>
      </w:r>
      <w:r w:rsidR="00A4267F" w:rsidRPr="00AF3362">
        <w:t>found</w:t>
      </w:r>
      <w:r w:rsidR="00480C1C" w:rsidRPr="00AF3362">
        <w:t xml:space="preserve"> in the population included in </w:t>
      </w:r>
      <w:r w:rsidR="0034723F">
        <w:t xml:space="preserve">this </w:t>
      </w:r>
      <w:r w:rsidR="00480C1C" w:rsidRPr="00AF3362">
        <w:t xml:space="preserve">study. </w:t>
      </w:r>
    </w:p>
    <w:p w:rsidR="003E7904" w:rsidRPr="00AF3362" w:rsidRDefault="003E7904">
      <w:pPr>
        <w:spacing w:line="360" w:lineRule="auto"/>
        <w:jc w:val="both"/>
      </w:pPr>
    </w:p>
    <w:p w:rsidR="003E7904" w:rsidRPr="00AF3362" w:rsidRDefault="00BA0F84">
      <w:pPr>
        <w:spacing w:line="360" w:lineRule="auto"/>
        <w:jc w:val="both"/>
        <w:rPr>
          <w:b/>
        </w:rPr>
      </w:pPr>
      <w:r w:rsidRPr="00AF3362">
        <w:rPr>
          <w:b/>
        </w:rPr>
        <w:t>Discussion</w:t>
      </w:r>
    </w:p>
    <w:p w:rsidR="003E7904" w:rsidRPr="00AF3362" w:rsidRDefault="00BA0F84">
      <w:pPr>
        <w:spacing w:line="360" w:lineRule="auto"/>
        <w:jc w:val="both"/>
      </w:pPr>
      <w:r w:rsidRPr="00AF3362">
        <w:t xml:space="preserve">Different epidemiological studies have suggested that cannabis use could be a risk factor for the development of schizophrenia (Marconi </w:t>
      </w:r>
      <w:r w:rsidR="00E50A40" w:rsidRPr="00AF3362">
        <w:t>et al.</w:t>
      </w:r>
      <w:r w:rsidRPr="00AF3362">
        <w:t>, 2016). However, only a small proportion of cannabis users develop psychosis, which can be partially explained by genetic factors. Converging evidence from animal and human studies suggests that the endocannabinoid system</w:t>
      </w:r>
      <w:r w:rsidR="00F05F52" w:rsidRPr="00AF3362">
        <w:t xml:space="preserve"> (ECS)</w:t>
      </w:r>
      <w:r w:rsidRPr="00AF3362">
        <w:t xml:space="preserve"> is involved in the pathophysiology of psychosis (Fakhoury, 2017; Minichino et al., 2019, Rodriguez-Muñoz, Sánchez-Blázquez, Callado, Meana &amp; Garzón-Niño, 2017). Thus, logical candidate genes that could influence </w:t>
      </w:r>
      <w:r w:rsidR="002811B2">
        <w:t>the likelihood</w:t>
      </w:r>
      <w:r w:rsidR="0057383E">
        <w:t xml:space="preserve"> </w:t>
      </w:r>
      <w:r w:rsidR="002811B2">
        <w:t>of</w:t>
      </w:r>
      <w:r w:rsidRPr="00AF3362">
        <w:t xml:space="preserve"> develop</w:t>
      </w:r>
      <w:r w:rsidR="0057383E">
        <w:t>ing</w:t>
      </w:r>
      <w:r w:rsidRPr="00AF3362">
        <w:t xml:space="preserve"> psychosis include </w:t>
      </w:r>
      <w:r w:rsidRPr="00AF3362">
        <w:rPr>
          <w:i/>
        </w:rPr>
        <w:t>CNR1</w:t>
      </w:r>
      <w:r w:rsidRPr="00AF3362">
        <w:t xml:space="preserve">, </w:t>
      </w:r>
      <w:r w:rsidRPr="00AF3362">
        <w:rPr>
          <w:i/>
        </w:rPr>
        <w:t>CNR2</w:t>
      </w:r>
      <w:r w:rsidRPr="00AF3362">
        <w:t xml:space="preserve">, and </w:t>
      </w:r>
      <w:r w:rsidRPr="00AF3362">
        <w:rPr>
          <w:i/>
        </w:rPr>
        <w:t>FAAH</w:t>
      </w:r>
      <w:r w:rsidRPr="00AF3362">
        <w:t>.</w:t>
      </w:r>
    </w:p>
    <w:p w:rsidR="003E7904" w:rsidRPr="00AF3362" w:rsidRDefault="003E7904">
      <w:pPr>
        <w:spacing w:line="360" w:lineRule="auto"/>
        <w:jc w:val="both"/>
      </w:pPr>
    </w:p>
    <w:p w:rsidR="003E7904" w:rsidRPr="00AF3362" w:rsidRDefault="00BA0F84">
      <w:pPr>
        <w:spacing w:line="360" w:lineRule="auto"/>
        <w:jc w:val="both"/>
        <w:rPr>
          <w:i/>
        </w:rPr>
      </w:pPr>
      <w:r w:rsidRPr="00AF3362">
        <w:rPr>
          <w:i/>
        </w:rPr>
        <w:t>CNR1</w:t>
      </w:r>
    </w:p>
    <w:p w:rsidR="00486FC6" w:rsidRPr="00AF3362" w:rsidRDefault="00BA0F84">
      <w:pPr>
        <w:spacing w:line="360" w:lineRule="auto"/>
        <w:jc w:val="both"/>
      </w:pPr>
      <w:r w:rsidRPr="00AF3362">
        <w:t xml:space="preserve">We found no evidence of association between the </w:t>
      </w:r>
      <w:r w:rsidRPr="00AF3362">
        <w:rPr>
          <w:i/>
        </w:rPr>
        <w:t>CNR1</w:t>
      </w:r>
      <w:r w:rsidRPr="00AF3362">
        <w:t xml:space="preserve"> microsatellite and schizophrenia, which is consistent with findings in other studies (Ballon et al., 2006; Dawson, 1995; Seifert, Ossege, Emrich, Sch</w:t>
      </w:r>
      <w:r w:rsidR="00E50A40" w:rsidRPr="00AF3362">
        <w:t>neider &amp; Stuhrmann, 2007; Tsai et al.</w:t>
      </w:r>
      <w:r w:rsidRPr="00AF3362">
        <w:t xml:space="preserve">, 2000). An association has been found between the hebephrenic subtype of schizophrenia and the AAT-repeat polymorphism in a Japanese population and in a family-based association study on a Costa Rican population (Chavarría-Siles et al., 2008; Ujike et al., 2002). Our sample of schizophrenic subjects mainly included paranoid-type patients (data not shown), as hebephrenic-type schizophrenia is very uncommon in the Spanish population. </w:t>
      </w:r>
      <w:r w:rsidR="004C38D2">
        <w:t>The</w:t>
      </w:r>
      <w:r w:rsidRPr="00AF3362">
        <w:t xml:space="preserve"> Ujike </w:t>
      </w:r>
      <w:r w:rsidR="004C38D2">
        <w:t>and</w:t>
      </w:r>
      <w:r w:rsidRPr="00AF3362">
        <w:t xml:space="preserve"> Chavarría-Siles </w:t>
      </w:r>
      <w:r w:rsidR="004C38D2">
        <w:t>studies did not</w:t>
      </w:r>
      <w:r w:rsidRPr="00AF3362">
        <w:t xml:space="preserve"> f</w:t>
      </w:r>
      <w:r w:rsidR="004C38D2">
        <w:t>i</w:t>
      </w:r>
      <w:r w:rsidRPr="00AF3362">
        <w:t>nd significant differences in the frequency of genotype or allele</w:t>
      </w:r>
      <w:r w:rsidR="004C38D2">
        <w:t>s</w:t>
      </w:r>
      <w:r w:rsidRPr="00AF3362">
        <w:t xml:space="preserve"> between </w:t>
      </w:r>
      <w:r w:rsidR="004C38D2">
        <w:t xml:space="preserve">subjects with paranoid-type </w:t>
      </w:r>
      <w:r w:rsidRPr="00AF3362">
        <w:t xml:space="preserve">schizophrenia and controls. </w:t>
      </w:r>
    </w:p>
    <w:p w:rsidR="003E7904" w:rsidRPr="00AF3362" w:rsidRDefault="00486FC6">
      <w:pPr>
        <w:spacing w:line="360" w:lineRule="auto"/>
        <w:jc w:val="both"/>
      </w:pPr>
      <w:r w:rsidRPr="00AF3362">
        <w:t>While no a</w:t>
      </w:r>
      <w:r w:rsidR="00BA0F84" w:rsidRPr="00AF3362">
        <w:t xml:space="preserve">ssociation </w:t>
      </w:r>
      <w:r w:rsidRPr="00AF3362">
        <w:t>has been</w:t>
      </w:r>
      <w:r w:rsidR="00BA0F84" w:rsidRPr="00AF3362">
        <w:t xml:space="preserve"> found </w:t>
      </w:r>
      <w:r w:rsidR="007D26A8">
        <w:t xml:space="preserve">here </w:t>
      </w:r>
      <w:r w:rsidR="00BA0F84" w:rsidRPr="00AF3362">
        <w:t xml:space="preserve">between schizophrenia and other different </w:t>
      </w:r>
      <w:r w:rsidR="00BA0F84" w:rsidRPr="00AF3362">
        <w:rPr>
          <w:i/>
        </w:rPr>
        <w:t>CNR1</w:t>
      </w:r>
      <w:r w:rsidR="00BA0F84" w:rsidRPr="00AF3362">
        <w:t xml:space="preserve"> polymorphisms (Leroy et al., 2001; Zammit et al., 2007)</w:t>
      </w:r>
      <w:r w:rsidR="001A2746">
        <w:t>,</w:t>
      </w:r>
      <w:r w:rsidR="00BA0F84" w:rsidRPr="00AF3362">
        <w:t xml:space="preserve"> a</w:t>
      </w:r>
      <w:r w:rsidR="007D26A8">
        <w:t>nother</w:t>
      </w:r>
      <w:r w:rsidR="00BA0F84" w:rsidRPr="00AF3362">
        <w:t xml:space="preserve"> Spanish group (Martínez-Gras et al., 2006) </w:t>
      </w:r>
      <w:r w:rsidR="007D26A8">
        <w:t xml:space="preserve">did </w:t>
      </w:r>
      <w:r w:rsidR="00BA0F84" w:rsidRPr="00AF3362">
        <w:t>f</w:t>
      </w:r>
      <w:r w:rsidR="007D26A8">
        <w:t>i</w:t>
      </w:r>
      <w:r w:rsidR="00BA0F84" w:rsidRPr="00AF3362">
        <w:t xml:space="preserve">nd significant differences for this polymorphism between 113 patients and 111 healthy controls. Allele 4 was more frequent in controls, suggesting a protective effect </w:t>
      </w:r>
      <w:r w:rsidR="001A2746">
        <w:t>against</w:t>
      </w:r>
      <w:r w:rsidR="00BA0F84" w:rsidRPr="00AF3362">
        <w:t xml:space="preserve"> schizophrenia development. The sample was more heterogeneous, including comorbid substance abuse in the schizophrenic group, which could explain the discrepancies with our findings. On the other hand, the frequency of the (AAT)12 repeat allele was increased in schizophrenic cocaine dependent</w:t>
      </w:r>
      <w:r w:rsidR="00CD7926">
        <w:t xml:space="preserve"> subjects</w:t>
      </w:r>
      <w:r w:rsidR="00BA0F84" w:rsidRPr="00AF3362">
        <w:t xml:space="preserve"> in an African-Caribbean population (Ballon et al., 2006).</w:t>
      </w:r>
    </w:p>
    <w:p w:rsidR="00480C1C" w:rsidRPr="00AF3362" w:rsidRDefault="00480C1C" w:rsidP="00480C1C">
      <w:pPr>
        <w:spacing w:line="360" w:lineRule="auto"/>
        <w:jc w:val="both"/>
      </w:pPr>
      <w:r w:rsidRPr="00AF3362">
        <w:t xml:space="preserve">Although we </w:t>
      </w:r>
      <w:r w:rsidR="008449EB">
        <w:t xml:space="preserve">did not find </w:t>
      </w:r>
      <w:r w:rsidRPr="00AF3362">
        <w:t xml:space="preserve">an association </w:t>
      </w:r>
      <w:r w:rsidR="001A2746">
        <w:t>between</w:t>
      </w:r>
      <w:r w:rsidRPr="00AF3362">
        <w:t xml:space="preserve"> this polymorphism </w:t>
      </w:r>
      <w:r w:rsidR="001A2746">
        <w:t>and</w:t>
      </w:r>
      <w:r w:rsidRPr="00AF3362">
        <w:t xml:space="preserve"> schizophrenia, many other data suggest that the CB1 receptors could play a key role in its pathogenesis</w:t>
      </w:r>
      <w:r w:rsidR="004A519A">
        <w:t>,</w:t>
      </w:r>
      <w:r w:rsidRPr="00AF3362">
        <w:t xml:space="preserve"> or it could be linked with some of the phenotypes related to this disease. </w:t>
      </w:r>
      <w:r w:rsidR="00EA3122" w:rsidRPr="00AF3362">
        <w:t xml:space="preserve">In this </w:t>
      </w:r>
      <w:r w:rsidR="008449EB">
        <w:t>regard</w:t>
      </w:r>
      <w:r w:rsidR="00EA3122" w:rsidRPr="00AF3362">
        <w:t>, an association</w:t>
      </w:r>
      <w:r w:rsidR="00AF3362">
        <w:t xml:space="preserve"> </w:t>
      </w:r>
      <w:r w:rsidR="00EA3122" w:rsidRPr="00AF3362">
        <w:t xml:space="preserve">has been described </w:t>
      </w:r>
      <w:r w:rsidRPr="00AF3362">
        <w:t xml:space="preserve">between some of the </w:t>
      </w:r>
      <w:r w:rsidRPr="00AF3362">
        <w:rPr>
          <w:i/>
        </w:rPr>
        <w:t>CNR1</w:t>
      </w:r>
      <w:r w:rsidRPr="00AF3362">
        <w:t xml:space="preserve"> gene polymorphisms and the psychomimetic effects of cannabis in </w:t>
      </w:r>
      <w:r w:rsidR="004A519A">
        <w:t xml:space="preserve">a </w:t>
      </w:r>
      <w:r w:rsidRPr="00AF3362">
        <w:t>healthy population (</w:t>
      </w:r>
      <w:r w:rsidR="00E50A40" w:rsidRPr="00AF3362">
        <w:t xml:space="preserve">Krebs, Morvan, Jay, Gaillard, &amp; Kebir </w:t>
      </w:r>
      <w:r w:rsidRPr="00AF3362">
        <w:t xml:space="preserve">2014), the cognitive function of psychotic first-episodes (Rojnic et al., 2019) </w:t>
      </w:r>
      <w:r w:rsidR="00CA0C51">
        <w:t>and</w:t>
      </w:r>
      <w:r w:rsidRPr="00AF3362">
        <w:t xml:space="preserve"> the pharmacogenetic response in psychosis (Hamdani et al., 2008). In addition, there have been changes </w:t>
      </w:r>
      <w:r w:rsidR="000752C2">
        <w:t xml:space="preserve">described </w:t>
      </w:r>
      <w:r w:rsidRPr="00AF3362">
        <w:t xml:space="preserve">in </w:t>
      </w:r>
      <w:r w:rsidRPr="00AF3362">
        <w:rPr>
          <w:i/>
        </w:rPr>
        <w:t>CNR1</w:t>
      </w:r>
      <w:r w:rsidRPr="00AF3362">
        <w:t xml:space="preserve"> gene expression (Tao et al., 2020) and in the methylation of </w:t>
      </w:r>
      <w:r w:rsidR="008853F2">
        <w:t xml:space="preserve">the </w:t>
      </w:r>
      <w:r w:rsidRPr="00AF3362">
        <w:t xml:space="preserve">DNA of the </w:t>
      </w:r>
      <w:r w:rsidRPr="00AF3362">
        <w:rPr>
          <w:i/>
        </w:rPr>
        <w:t xml:space="preserve">CRN1 </w:t>
      </w:r>
      <w:r w:rsidR="00146B8A">
        <w:rPr>
          <w:i/>
        </w:rPr>
        <w:t xml:space="preserve">gene </w:t>
      </w:r>
      <w:r w:rsidRPr="00AF3362">
        <w:t>in schizophrenia</w:t>
      </w:r>
      <w:r w:rsidR="00AF3362">
        <w:rPr>
          <w:strike/>
        </w:rPr>
        <w:t xml:space="preserve"> </w:t>
      </w:r>
      <w:r w:rsidRPr="00AF3362">
        <w:t>(D'Addario et al., 2017), a</w:t>
      </w:r>
      <w:r w:rsidR="008853F2">
        <w:t>s well as</w:t>
      </w:r>
      <w:r w:rsidRPr="00AF3362">
        <w:t xml:space="preserve"> reduced availability of CB1 receptors in different brain areas in psychotic first-episodes</w:t>
      </w:r>
      <w:r w:rsidR="00AF3362" w:rsidRPr="00AF3362">
        <w:t xml:space="preserve"> </w:t>
      </w:r>
      <w:r w:rsidRPr="00AF3362">
        <w:t xml:space="preserve">(Borgan et al., 2019). </w:t>
      </w:r>
    </w:p>
    <w:p w:rsidR="003E7904" w:rsidRPr="00AF3362" w:rsidRDefault="00BA0F84">
      <w:pPr>
        <w:spacing w:line="360" w:lineRule="auto"/>
        <w:jc w:val="both"/>
        <w:rPr>
          <w:strike/>
        </w:rPr>
      </w:pPr>
      <w:r w:rsidRPr="00AF3362">
        <w:t xml:space="preserve">Comings et al. (1997) found that this polymorphism was significantly associated with a number of different types of drug dependence and intravenous drug use. In </w:t>
      </w:r>
      <w:r w:rsidR="00633CF7">
        <w:t xml:space="preserve">accordance </w:t>
      </w:r>
      <w:r w:rsidRPr="00AF3362">
        <w:t xml:space="preserve">with our findings, other authors did not find an association between </w:t>
      </w:r>
      <w:r w:rsidR="000759EB">
        <w:t xml:space="preserve">the </w:t>
      </w:r>
      <w:r w:rsidRPr="00AF3362">
        <w:t>AAT polymorphism and substance abuse (Covault, Gelernter &amp; Kranzler, 2001; Heller, Schneider, Seifert, Cimander &amp; Stuhrmann, 2001; Li et al., 2000). Comparison of allele distributions among different ethnic groups showed marked genetic variation among populations (Comings et al., 1997; Li et al., 2000; Ujike et al., 2002). It is important to note that, in our sample, all patients were Caucasian</w:t>
      </w:r>
      <w:r w:rsidR="00833CA4" w:rsidRPr="00AF3362">
        <w:t>.</w:t>
      </w:r>
      <w:r w:rsidRPr="00AF3362">
        <w:t xml:space="preserve"> </w:t>
      </w:r>
    </w:p>
    <w:p w:rsidR="003E7904" w:rsidRPr="00AF3362" w:rsidRDefault="003E7904">
      <w:pPr>
        <w:spacing w:line="360" w:lineRule="auto"/>
        <w:jc w:val="both"/>
      </w:pPr>
    </w:p>
    <w:p w:rsidR="003E7904" w:rsidRPr="00AF3362" w:rsidRDefault="00BA0F84">
      <w:pPr>
        <w:spacing w:line="360" w:lineRule="auto"/>
        <w:jc w:val="both"/>
        <w:rPr>
          <w:i/>
        </w:rPr>
      </w:pPr>
      <w:r w:rsidRPr="00AF3362">
        <w:rPr>
          <w:i/>
        </w:rPr>
        <w:t>FAAH</w:t>
      </w:r>
    </w:p>
    <w:p w:rsidR="003E7904" w:rsidRPr="00AF3362" w:rsidRDefault="003E7904">
      <w:pPr>
        <w:spacing w:line="360" w:lineRule="auto"/>
        <w:jc w:val="both"/>
      </w:pPr>
    </w:p>
    <w:p w:rsidR="003E7904" w:rsidRPr="00AF3362" w:rsidRDefault="00BA0F84">
      <w:pPr>
        <w:spacing w:line="360" w:lineRule="auto"/>
        <w:jc w:val="both"/>
      </w:pPr>
      <w:r w:rsidRPr="00AF3362">
        <w:t xml:space="preserve">When comparing schizophrenic patients with or without cannabis use disorder to controls, no significant differences were found with regard to allele frequencies or genotype distribution of the </w:t>
      </w:r>
      <w:r w:rsidRPr="00AF3362">
        <w:rPr>
          <w:i/>
        </w:rPr>
        <w:t>FAAH</w:t>
      </w:r>
      <w:r w:rsidRPr="00AF3362">
        <w:t xml:space="preserve"> gene. This is consistent with the findings of Morita et al. (2005) </w:t>
      </w:r>
      <w:r w:rsidR="00F47BAB">
        <w:t>in relation to</w:t>
      </w:r>
      <w:r w:rsidRPr="00AF3362">
        <w:t xml:space="preserve"> a Japanese population, and the recently published results of Hindocha et al. (2020), </w:t>
      </w:r>
      <w:r w:rsidR="00CC021A">
        <w:t>which</w:t>
      </w:r>
      <w:r w:rsidRPr="00AF3362">
        <w:t xml:space="preserve"> </w:t>
      </w:r>
      <w:r w:rsidR="00F47BAB">
        <w:t xml:space="preserve">also </w:t>
      </w:r>
      <w:r w:rsidRPr="00AF3362">
        <w:t xml:space="preserve">failed to find a significant association between </w:t>
      </w:r>
      <w:r w:rsidR="00F47BAB">
        <w:t xml:space="preserve">the </w:t>
      </w:r>
      <w:r w:rsidRPr="00AF3362">
        <w:t>rs324420 genotype and psychotic experiences in cannabis users. Bioque et al. (2019) analysed the genotypes of 321 patients with first</w:t>
      </w:r>
      <w:r w:rsidR="00730DB2">
        <w:t>-</w:t>
      </w:r>
      <w:r w:rsidRPr="00AF3362">
        <w:t xml:space="preserve">episode psychosis. A total of 15 </w:t>
      </w:r>
      <w:r w:rsidRPr="00AF3362">
        <w:rPr>
          <w:i/>
        </w:rPr>
        <w:t>CNR1, CNR2</w:t>
      </w:r>
      <w:r w:rsidRPr="00AF3362">
        <w:t xml:space="preserve"> and </w:t>
      </w:r>
      <w:r w:rsidRPr="00AF3362">
        <w:rPr>
          <w:i/>
        </w:rPr>
        <w:t xml:space="preserve">FAAH </w:t>
      </w:r>
      <w:r w:rsidR="00F10FBF">
        <w:rPr>
          <w:i/>
        </w:rPr>
        <w:t xml:space="preserve"> SNPs </w:t>
      </w:r>
      <w:r w:rsidRPr="00AF3362">
        <w:t xml:space="preserve">were analysed, but they only found statistical significance </w:t>
      </w:r>
      <w:r w:rsidR="005B6570">
        <w:t>in the case of</w:t>
      </w:r>
      <w:r w:rsidRPr="00AF3362">
        <w:t xml:space="preserve"> the rs2295633 </w:t>
      </w:r>
      <w:r w:rsidR="00015D05">
        <w:t xml:space="preserve">polymorphism </w:t>
      </w:r>
      <w:r w:rsidRPr="00AF3362">
        <w:t xml:space="preserve">of the </w:t>
      </w:r>
      <w:r w:rsidRPr="00AF3362">
        <w:rPr>
          <w:i/>
        </w:rPr>
        <w:t xml:space="preserve">FAAH </w:t>
      </w:r>
      <w:r w:rsidRPr="00AF3362">
        <w:t xml:space="preserve">gene. Homozygote carriers of the T allele </w:t>
      </w:r>
      <w:r w:rsidR="004E1891">
        <w:t xml:space="preserve">who were cannabis users </w:t>
      </w:r>
      <w:r w:rsidR="00E1725C">
        <w:t xml:space="preserve">had a greater likelihood </w:t>
      </w:r>
      <w:r w:rsidRPr="00AF3362">
        <w:t xml:space="preserve">of presenting a psychotic episode  </w:t>
      </w:r>
      <w:r w:rsidR="004E1891">
        <w:t xml:space="preserve">than </w:t>
      </w:r>
      <w:r w:rsidRPr="00AF3362">
        <w:t xml:space="preserve">users of cannabis without this genotype. </w:t>
      </w:r>
      <w:r w:rsidR="008D005A">
        <w:t>S</w:t>
      </w:r>
      <w:r w:rsidRPr="00AF3362">
        <w:t xml:space="preserve">ufficient statistical significance was </w:t>
      </w:r>
      <w:r w:rsidR="008D005A">
        <w:t xml:space="preserve">not </w:t>
      </w:r>
      <w:r w:rsidRPr="00AF3362">
        <w:t xml:space="preserve">found </w:t>
      </w:r>
      <w:r w:rsidR="00D56DEB">
        <w:t xml:space="preserve">with regard to the </w:t>
      </w:r>
      <w:r w:rsidRPr="00AF3362">
        <w:t xml:space="preserve">rs324420 polymorphism. Watts et al. (2020) recently found that </w:t>
      </w:r>
      <w:r w:rsidR="008D005A">
        <w:t xml:space="preserve">lower levels of </w:t>
      </w:r>
      <w:r w:rsidRPr="00AF3362">
        <w:t xml:space="preserve">FAAH were associated with more severe psychotic symptoms. These results were independent of cannabis exposure. </w:t>
      </w:r>
    </w:p>
    <w:p w:rsidR="003E7904" w:rsidRPr="00AF3362" w:rsidRDefault="00BA0F84">
      <w:pPr>
        <w:spacing w:line="360" w:lineRule="auto"/>
        <w:jc w:val="both"/>
      </w:pPr>
      <w:r w:rsidRPr="00AF3362">
        <w:t xml:space="preserve">We found an association between the rs324420 polymorphism in the </w:t>
      </w:r>
      <w:r w:rsidRPr="00AF3362">
        <w:rPr>
          <w:i/>
        </w:rPr>
        <w:t xml:space="preserve">FAAH </w:t>
      </w:r>
      <w:r w:rsidRPr="00AF3362">
        <w:t>gene</w:t>
      </w:r>
      <w:r w:rsidRPr="00AF3362">
        <w:rPr>
          <w:i/>
        </w:rPr>
        <w:t xml:space="preserve"> </w:t>
      </w:r>
      <w:r w:rsidRPr="00AF3362">
        <w:t xml:space="preserve">and cannabis dependence. The presence of fewer heterozygotes in the rs324420 </w:t>
      </w:r>
      <w:r w:rsidRPr="00AF3362">
        <w:rPr>
          <w:i/>
        </w:rPr>
        <w:t>FAAH</w:t>
      </w:r>
      <w:r w:rsidRPr="00AF3362">
        <w:t xml:space="preserve"> polymorphism was associated with cannabis dependence, which leads us to hypothesi</w:t>
      </w:r>
      <w:r w:rsidR="00474C76">
        <w:t>s</w:t>
      </w:r>
      <w:r w:rsidRPr="00AF3362">
        <w:t xml:space="preserve">e that the heterozygous genotype confers some protection against </w:t>
      </w:r>
      <w:r w:rsidR="00666FA3">
        <w:t xml:space="preserve">this </w:t>
      </w:r>
      <w:r w:rsidRPr="00AF3362">
        <w:t>dependence, in accordance with an overdominance model. Heterozygosity could thus be a balance between the demands of flexibility and stability in the neural pathways involved.</w:t>
      </w:r>
      <w:r w:rsidR="004F50DF" w:rsidRPr="00AF3362">
        <w:t xml:space="preserve"> Just as in our research, other authors have found an association between </w:t>
      </w:r>
      <w:r w:rsidR="000C3F1E">
        <w:t xml:space="preserve">the </w:t>
      </w:r>
      <w:r w:rsidR="004F50DF" w:rsidRPr="00AF3362">
        <w:t>AA or CC homozygotes of this polymorphi</w:t>
      </w:r>
      <w:r w:rsidR="008D1459" w:rsidRPr="00AF3362">
        <w:t xml:space="preserve">sm and substance use disorders </w:t>
      </w:r>
      <w:r w:rsidR="004F50DF" w:rsidRPr="00AF3362">
        <w:t xml:space="preserve">(Flanagan, Gerber, Cadet, Beutler &amp; Sipe, 2006; Sipe </w:t>
      </w:r>
      <w:r w:rsidR="00E50A40" w:rsidRPr="00AF3362">
        <w:t>et al.</w:t>
      </w:r>
      <w:r w:rsidR="004F50DF" w:rsidRPr="00AF3362">
        <w:t>, 2002)</w:t>
      </w:r>
      <w:r w:rsidR="00AF3362">
        <w:t xml:space="preserve">, </w:t>
      </w:r>
      <w:r w:rsidR="00666FA3">
        <w:t>and</w:t>
      </w:r>
      <w:r w:rsidR="008D1459" w:rsidRPr="00AF3362">
        <w:t xml:space="preserve"> different clini</w:t>
      </w:r>
      <w:r w:rsidR="00917A88" w:rsidRPr="00AF3362">
        <w:t>cal manifestations</w:t>
      </w:r>
      <w:r w:rsidR="008D1459" w:rsidRPr="00AF3362">
        <w:t xml:space="preserve"> in cannabis users  </w:t>
      </w:r>
      <w:r w:rsidRPr="00AF3362">
        <w:t>(Haughey, Marshall, Schacht, Louis &amp; Hutchison, 2008</w:t>
      </w:r>
      <w:r w:rsidR="00AF3362">
        <w:t>;</w:t>
      </w:r>
      <w:r w:rsidRPr="00AF3362">
        <w:t xml:space="preserve"> </w:t>
      </w:r>
      <w:r w:rsidR="00E50A40" w:rsidRPr="00AF3362">
        <w:t>Schacht, Selling &amp; Hutchison, 2009).</w:t>
      </w:r>
    </w:p>
    <w:p w:rsidR="00E50A40" w:rsidRPr="00AF3362" w:rsidRDefault="00E50A40" w:rsidP="00E50A40">
      <w:pPr>
        <w:spacing w:line="360" w:lineRule="auto"/>
        <w:jc w:val="both"/>
      </w:pPr>
      <w:r w:rsidRPr="00AF3362">
        <w:t xml:space="preserve">FAAH is the critical regulator of the endogenous levels of anandamide (Fezza, De Simone, Amadio &amp; Maccarrone, 2008). The FAAH polymorphism rs324420 predicts a substitution of proline at position 129 of the protein by a threonine residue (P129T), resulting in a protein that is more susceptible to proteolytic degradation (Sipe, Chiang, Gerber, Beutler &amp; Cravatt, 2002). Thus, </w:t>
      </w:r>
      <w:r w:rsidRPr="00AF3362">
        <w:rPr>
          <w:i/>
        </w:rPr>
        <w:t>FAAH 385A</w:t>
      </w:r>
      <w:r w:rsidRPr="00AF3362">
        <w:t xml:space="preserve"> is associated </w:t>
      </w:r>
      <w:r w:rsidR="008C2073">
        <w:t>with</w:t>
      </w:r>
      <w:r w:rsidRPr="00AF3362">
        <w:t xml:space="preserve"> lower enzymatic activity. FAAH knockout mice have shown altered cannabis tolerance and dependence (Falenski et al., 2010) suggesting that altered FAAH activity m</w:t>
      </w:r>
      <w:r w:rsidR="008C2073">
        <w:t>ay</w:t>
      </w:r>
      <w:r w:rsidRPr="00AF3362">
        <w:t xml:space="preserve"> modify endocannabinoid signalling in reward-controlling areas and contribute to addictive vulnerability (Van Hell et al., 2012).</w:t>
      </w:r>
    </w:p>
    <w:p w:rsidR="00E50A40" w:rsidRPr="00AF3362" w:rsidRDefault="00BA0F84">
      <w:pPr>
        <w:spacing w:line="360" w:lineRule="auto"/>
        <w:jc w:val="both"/>
      </w:pPr>
      <w:r w:rsidRPr="00AF3362">
        <w:t>Previous literature about the relation</w:t>
      </w:r>
      <w:r w:rsidR="000A164A">
        <w:t>ship</w:t>
      </w:r>
      <w:r w:rsidRPr="00AF3362">
        <w:t xml:space="preserve"> </w:t>
      </w:r>
      <w:r w:rsidR="000A164A">
        <w:t>between the</w:t>
      </w:r>
      <w:r w:rsidRPr="00AF3362">
        <w:t xml:space="preserve"> rs324420 polymorphism and drug use pattern</w:t>
      </w:r>
      <w:r w:rsidR="00D779AD">
        <w:t>s</w:t>
      </w:r>
      <w:r w:rsidRPr="00AF3362">
        <w:t xml:space="preserve"> seems to be extremely heterogeneous and complex (Hindocha et al., 2019</w:t>
      </w:r>
      <w:r w:rsidR="00AF3362">
        <w:t>;</w:t>
      </w:r>
      <w:r w:rsidRPr="00AF3362">
        <w:t xml:space="preserve"> </w:t>
      </w:r>
      <w:r w:rsidR="00AF3362" w:rsidRPr="00AF3362">
        <w:t>Melroy-Greif, Wilhelmsen &amp; Ehlers, 2016</w:t>
      </w:r>
      <w:r w:rsidR="00AF3362">
        <w:t xml:space="preserve">; </w:t>
      </w:r>
      <w:r w:rsidRPr="00AF3362">
        <w:t xml:space="preserve">Tyndale </w:t>
      </w:r>
      <w:r w:rsidR="00E50A40" w:rsidRPr="00AF3362">
        <w:t>et al.,</w:t>
      </w:r>
      <w:r w:rsidRPr="00AF3362">
        <w:t xml:space="preserve"> (2007). Lower levels of FAAH have been identified in healthy A-carriers of rs324420 (Boileau et al., 2015). </w:t>
      </w:r>
      <w:r w:rsidR="00AF4F15">
        <w:t>R</w:t>
      </w:r>
      <w:r w:rsidRPr="00AF3362">
        <w:t xml:space="preserve">educed brain FAAH binding </w:t>
      </w:r>
      <w:r w:rsidR="00AF4F15">
        <w:t>has been found i</w:t>
      </w:r>
      <w:r w:rsidRPr="00AF3362">
        <w:t xml:space="preserve">n cannabis users compared to controls. In addition, lower binding has been associated </w:t>
      </w:r>
      <w:r w:rsidR="000D7668">
        <w:t>with</w:t>
      </w:r>
      <w:r w:rsidRPr="00AF3362">
        <w:t xml:space="preserve"> abstinence, impulsivity and increased cannabinoid blood levels (Boileau</w:t>
      </w:r>
      <w:r w:rsidR="00547D10" w:rsidRPr="00AF3362">
        <w:t xml:space="preserve"> et al.,</w:t>
      </w:r>
      <w:r w:rsidRPr="00AF3362">
        <w:t xml:space="preserve"> 2016).</w:t>
      </w:r>
      <w:r w:rsidR="00E50A40" w:rsidRPr="00AF3362">
        <w:t xml:space="preserve"> In the cannabis</w:t>
      </w:r>
      <w:r w:rsidR="0026076D">
        <w:t xml:space="preserve"> </w:t>
      </w:r>
      <w:r w:rsidR="00E50A40" w:rsidRPr="00AF3362">
        <w:t xml:space="preserve">user sample of </w:t>
      </w:r>
      <w:r w:rsidR="00D779AD">
        <w:t xml:space="preserve">the </w:t>
      </w:r>
      <w:r w:rsidR="00E50A40" w:rsidRPr="00AF3362">
        <w:t>Hindocha et al. (2019)</w:t>
      </w:r>
      <w:r w:rsidR="00D779AD">
        <w:t xml:space="preserve"> study</w:t>
      </w:r>
      <w:r w:rsidR="000D7668">
        <w:t>,</w:t>
      </w:r>
      <w:r w:rsidR="00E50A40" w:rsidRPr="00AF3362">
        <w:t xml:space="preserve"> A carriers showed a greater bias toward</w:t>
      </w:r>
      <w:r w:rsidR="005568C5">
        <w:t>s</w:t>
      </w:r>
      <w:r w:rsidR="00E50A40" w:rsidRPr="00AF3362">
        <w:t xml:space="preserve"> appetitive stimuli</w:t>
      </w:r>
      <w:r w:rsidR="00AF3362">
        <w:t xml:space="preserve"> in comparison with CC carriers</w:t>
      </w:r>
      <w:r w:rsidR="00E50A40" w:rsidRPr="00AF3362">
        <w:t xml:space="preserve">. </w:t>
      </w:r>
      <w:r w:rsidRPr="00AF3362">
        <w:t xml:space="preserve">Hariri et al. (2009) found that </w:t>
      </w:r>
      <w:r w:rsidR="000D7668">
        <w:t xml:space="preserve">there was an association in </w:t>
      </w:r>
      <w:r w:rsidRPr="00AF3362">
        <w:t xml:space="preserve">carriers of </w:t>
      </w:r>
      <w:r w:rsidRPr="00AF3362">
        <w:rPr>
          <w:i/>
        </w:rPr>
        <w:t>FAAH 385A</w:t>
      </w:r>
      <w:r w:rsidRPr="00AF3362">
        <w:t xml:space="preserve"> with possible increased endocannabinoid signalling, </w:t>
      </w:r>
      <w:r w:rsidR="000D7668">
        <w:t xml:space="preserve">and that there was </w:t>
      </w:r>
      <w:r w:rsidRPr="00AF3362">
        <w:t xml:space="preserve">increased reward-related ventral striatal reactivity and more impulsivity in comparison with C385 homozygotes. </w:t>
      </w:r>
      <w:r w:rsidR="00E50A40" w:rsidRPr="00AF3362">
        <w:t xml:space="preserve">On the contrary, </w:t>
      </w:r>
      <w:r w:rsidRPr="00AF3362">
        <w:t>Filbey, Schacht, Myers, Chavez &amp; Hutchison (2010) identified hig</w:t>
      </w:r>
      <w:r w:rsidR="00AF3362">
        <w:t xml:space="preserve">her activation in reward areas </w:t>
      </w:r>
      <w:r w:rsidRPr="00AF3362">
        <w:t>in C-allele carriers in a sam</w:t>
      </w:r>
      <w:r w:rsidR="00AF3362">
        <w:t>ple of regular marijuana users</w:t>
      </w:r>
      <w:r w:rsidRPr="00AF3362">
        <w:t xml:space="preserve">. </w:t>
      </w:r>
    </w:p>
    <w:p w:rsidR="003E7904" w:rsidRPr="00AF3362" w:rsidRDefault="00AF3362">
      <w:pPr>
        <w:spacing w:line="360" w:lineRule="auto"/>
        <w:jc w:val="both"/>
      </w:pPr>
      <w:r>
        <w:t>O</w:t>
      </w:r>
      <w:r w:rsidR="00E50A40" w:rsidRPr="00AF3362">
        <w:t>ur</w:t>
      </w:r>
      <w:r w:rsidR="00BA0F84" w:rsidRPr="00AF3362">
        <w:t xml:space="preserve"> finding</w:t>
      </w:r>
      <w:r w:rsidR="00E50A40" w:rsidRPr="00AF3362">
        <w:t>s</w:t>
      </w:r>
      <w:r w:rsidR="00BA0F84" w:rsidRPr="00AF3362">
        <w:t xml:space="preserve"> should be interpreted with caution because significance levels for codominant and overdominance models were similar and the study population </w:t>
      </w:r>
      <w:r w:rsidR="00397583">
        <w:t xml:space="preserve">number </w:t>
      </w:r>
      <w:r w:rsidR="00BA0F84" w:rsidRPr="00AF3362">
        <w:t>was limited (</w:t>
      </w:r>
      <w:r w:rsidR="00CC021A">
        <w:t xml:space="preserve">the </w:t>
      </w:r>
      <w:r w:rsidR="00BA0F84" w:rsidRPr="00AF3362">
        <w:t>AA genotype was only present in few cases and the cannabis</w:t>
      </w:r>
      <w:r w:rsidR="00D37879">
        <w:t xml:space="preserve"> </w:t>
      </w:r>
      <w:r w:rsidR="00BA0F84" w:rsidRPr="00AF3362">
        <w:t xml:space="preserve">dependent control subgroups were small). </w:t>
      </w:r>
    </w:p>
    <w:p w:rsidR="003E7904" w:rsidRPr="00AF3362" w:rsidRDefault="003E7904">
      <w:pPr>
        <w:spacing w:line="360" w:lineRule="auto"/>
        <w:jc w:val="both"/>
      </w:pPr>
    </w:p>
    <w:p w:rsidR="003E7904" w:rsidRPr="00AF3362" w:rsidRDefault="00BA0F84">
      <w:pPr>
        <w:spacing w:line="360" w:lineRule="auto"/>
        <w:jc w:val="both"/>
        <w:rPr>
          <w:i/>
        </w:rPr>
      </w:pPr>
      <w:r w:rsidRPr="00AF3362">
        <w:rPr>
          <w:i/>
        </w:rPr>
        <w:t>CNR2</w:t>
      </w:r>
    </w:p>
    <w:p w:rsidR="003E7904" w:rsidRPr="00AF3362" w:rsidRDefault="00BA0F84">
      <w:pPr>
        <w:spacing w:line="360" w:lineRule="auto"/>
        <w:jc w:val="both"/>
      </w:pPr>
      <w:r w:rsidRPr="00AF3362">
        <w:t xml:space="preserve">Different studies have shown that CB2 receptors are present in neural progenitor </w:t>
      </w:r>
      <w:r w:rsidR="00547D10" w:rsidRPr="00AF3362">
        <w:t>cells, neurons and glial cells</w:t>
      </w:r>
      <w:r w:rsidRPr="00AF3362">
        <w:t xml:space="preserve">. In addition, CB2 receptor function has not only been linked to neurological disorders involving neuroinflammation but also to neuropsychiatric disorders like drug addiction, psychosis, depression, and eating disorders (Onaivi </w:t>
      </w:r>
      <w:r w:rsidR="00547D10" w:rsidRPr="00AF3362">
        <w:t>et al.,</w:t>
      </w:r>
      <w:r w:rsidRPr="00AF3362">
        <w:t xml:space="preserve"> 2012).</w:t>
      </w:r>
    </w:p>
    <w:p w:rsidR="003E7904" w:rsidRPr="00AF3362" w:rsidRDefault="00BA0F84">
      <w:pPr>
        <w:spacing w:line="360" w:lineRule="auto"/>
        <w:jc w:val="both"/>
      </w:pPr>
      <w:r w:rsidRPr="00AF3362">
        <w:t xml:space="preserve">Nonetheless, </w:t>
      </w:r>
      <w:r w:rsidR="00547D10" w:rsidRPr="00AF3362">
        <w:t>w</w:t>
      </w:r>
      <w:r w:rsidRPr="00AF3362">
        <w:t xml:space="preserve">e observed an association between the polymorphisms rs35761398 and </w:t>
      </w:r>
      <w:bookmarkStart w:id="11" w:name="bookmark=id.17dp8vu" w:colFirst="0" w:colLast="0"/>
      <w:bookmarkEnd w:id="11"/>
      <w:r w:rsidRPr="00AF3362">
        <w:t xml:space="preserve">rs12744386 in </w:t>
      </w:r>
      <w:r w:rsidRPr="00AF3362">
        <w:rPr>
          <w:i/>
        </w:rPr>
        <w:t xml:space="preserve">CNR2 </w:t>
      </w:r>
      <w:r w:rsidRPr="00AF3362">
        <w:t xml:space="preserve">and comorbid schizophrenia and cannabis dependence. We found that the high function genotype of </w:t>
      </w:r>
      <w:r w:rsidRPr="00AF3362">
        <w:rPr>
          <w:i/>
        </w:rPr>
        <w:t>CNR2</w:t>
      </w:r>
      <w:r w:rsidRPr="00AF3362">
        <w:t xml:space="preserve"> was associated with schizophrenia, but only in cannabis dependent subjects. We tested several models of inheritance and found that statistical association was enhanced when a dominant model for the TT allele was assumed. To our knowledge, this is the first </w:t>
      </w:r>
      <w:r w:rsidR="007D251B">
        <w:t>study</w:t>
      </w:r>
      <w:r w:rsidRPr="00AF3362">
        <w:t xml:space="preserve"> performed on </w:t>
      </w:r>
      <w:r w:rsidR="007D251B">
        <w:t xml:space="preserve">a </w:t>
      </w:r>
      <w:r w:rsidRPr="00AF3362">
        <w:t xml:space="preserve">Caucasian population. Ethnicity should be taken into consideration when interpreting our results because differential allelic distributions have been described in previous scientific literature </w:t>
      </w:r>
      <w:r w:rsidR="00182478">
        <w:t>on</w:t>
      </w:r>
      <w:r w:rsidRPr="00AF3362">
        <w:t xml:space="preserve"> other ethnic groups. For instance, an association </w:t>
      </w:r>
      <w:r w:rsidR="007D251B">
        <w:t xml:space="preserve">has been reported </w:t>
      </w:r>
      <w:r w:rsidRPr="00AF3362">
        <w:t xml:space="preserve">between </w:t>
      </w:r>
      <w:r w:rsidR="00833CA4" w:rsidRPr="00AF3362">
        <w:t>s</w:t>
      </w:r>
      <w:r w:rsidRPr="00AF3362">
        <w:t xml:space="preserve">chizophrenia and the low function haplotype in </w:t>
      </w:r>
      <w:r w:rsidR="007D251B">
        <w:t xml:space="preserve">a </w:t>
      </w:r>
      <w:r w:rsidRPr="00AF3362">
        <w:t xml:space="preserve">Japanese population </w:t>
      </w:r>
      <w:r w:rsidR="00173A55">
        <w:t xml:space="preserve">sample </w:t>
      </w:r>
      <w:r w:rsidRPr="00AF3362">
        <w:t>(</w:t>
      </w:r>
      <w:r w:rsidR="00F05F52" w:rsidRPr="00AF3362">
        <w:t>Ishiguro</w:t>
      </w:r>
      <w:r w:rsidR="00547D10" w:rsidRPr="00AF3362">
        <w:t xml:space="preserve"> et al., 2010</w:t>
      </w:r>
      <w:r w:rsidRPr="00AF3362">
        <w:t xml:space="preserve">) </w:t>
      </w:r>
      <w:r w:rsidR="007D251B">
        <w:t>and</w:t>
      </w:r>
      <w:r w:rsidRPr="00AF3362">
        <w:t xml:space="preserve"> other different </w:t>
      </w:r>
      <w:r w:rsidRPr="00AF3362">
        <w:rPr>
          <w:i/>
        </w:rPr>
        <w:t>CNR2</w:t>
      </w:r>
      <w:r w:rsidR="00547D10" w:rsidRPr="00AF3362">
        <w:t xml:space="preserve"> polymorphisms in Chinese samples</w:t>
      </w:r>
      <w:r w:rsidRPr="00AF3362">
        <w:t xml:space="preserve"> (Tong et al., 2013), </w:t>
      </w:r>
      <w:r w:rsidR="007D251B">
        <w:t xml:space="preserve">whereas </w:t>
      </w:r>
      <w:r w:rsidRPr="00AF3362">
        <w:t>in Korean samples</w:t>
      </w:r>
      <w:r w:rsidR="007D251B">
        <w:t>, no association was found</w:t>
      </w:r>
      <w:r w:rsidRPr="00AF3362">
        <w:t xml:space="preserve"> (Bae et al., 2014). </w:t>
      </w:r>
    </w:p>
    <w:p w:rsidR="003E7904" w:rsidRPr="00AF3362" w:rsidRDefault="00BA0F84">
      <w:pPr>
        <w:spacing w:line="360" w:lineRule="auto"/>
        <w:jc w:val="both"/>
      </w:pPr>
      <w:r w:rsidRPr="00AF3362">
        <w:t xml:space="preserve">Banaszkiewicz, Biala &amp; Kruk-Slomka (2020) conducted a review </w:t>
      </w:r>
      <w:r w:rsidR="005610F5">
        <w:t>on</w:t>
      </w:r>
      <w:r w:rsidRPr="00AF3362">
        <w:t xml:space="preserve"> schizophrenia-like symptoms induced via CB2 receptor modulation in animal models, suggesting a key function in schizophrenia. </w:t>
      </w:r>
      <w:r w:rsidR="00DE464A" w:rsidRPr="00AF3362">
        <w:t>Schizophrenia-related behavio</w:t>
      </w:r>
      <w:r w:rsidR="00E60686">
        <w:t>u</w:t>
      </w:r>
      <w:r w:rsidR="00DE464A" w:rsidRPr="00AF3362">
        <w:t xml:space="preserve">rs </w:t>
      </w:r>
      <w:r w:rsidRPr="00AF3362">
        <w:t xml:space="preserve">were observed in mice with deletion of CB2 receptors (Ortega-Alvaro, Aracil-Fernández, García-Gutiérrez, Navarrete &amp; Manzanares, 2011). It is suggested that </w:t>
      </w:r>
      <w:r w:rsidR="00C87AE1">
        <w:t>a</w:t>
      </w:r>
      <w:r w:rsidRPr="00AF3362">
        <w:t xml:space="preserve"> lack of </w:t>
      </w:r>
      <w:r w:rsidR="00C87AE1">
        <w:t xml:space="preserve">the </w:t>
      </w:r>
      <w:r w:rsidRPr="00AF3362">
        <w:t xml:space="preserve">CB2 receptor might impair neural development, thus inducing relevant alterations in several brain areas, based on findings supporting a pro-neurogenic role of </w:t>
      </w:r>
      <w:r w:rsidR="004C6816">
        <w:t xml:space="preserve">the </w:t>
      </w:r>
      <w:r w:rsidRPr="00AF3362">
        <w:t>CB2 receptor in the control of fundamental neural cell processes (Galve-Roperh, Aguado, Palazuelos &amp; Guzman, 2008). These results seem contrary to our data as they relate psychosis to lower function of CB2 receptors. Our data would</w:t>
      </w:r>
      <w:r w:rsidR="004C6816">
        <w:t xml:space="preserve"> </w:t>
      </w:r>
      <w:r w:rsidRPr="00AF3362">
        <w:t>support an alternative explanation</w:t>
      </w:r>
      <w:r w:rsidR="004C6816">
        <w:t>:</w:t>
      </w:r>
      <w:r w:rsidRPr="00AF3362">
        <w:t xml:space="preserve"> that excessive activity of these receptors could facilitate this psychotic phenotype. Therefore, cannabis use could disrupt neuronal differentiation during adolescence and provoke psychoses in vulnerable subjects through a mechanism involving CB2. </w:t>
      </w:r>
    </w:p>
    <w:p w:rsidR="003E7904" w:rsidRPr="00AF3362" w:rsidRDefault="00BA0F84">
      <w:pPr>
        <w:spacing w:line="360" w:lineRule="auto"/>
        <w:jc w:val="both"/>
      </w:pPr>
      <w:r w:rsidRPr="00AF3362">
        <w:t xml:space="preserve">On the other hand, inflammatory and immunological processes interfering with brain development are discussed as </w:t>
      </w:r>
      <w:r w:rsidR="000F3589">
        <w:t>a</w:t>
      </w:r>
      <w:r w:rsidRPr="00AF3362">
        <w:t xml:space="preserve"> cause of schizophrenia, and </w:t>
      </w:r>
      <w:r w:rsidR="00900886">
        <w:t xml:space="preserve">the </w:t>
      </w:r>
      <w:r w:rsidRPr="00AF3362">
        <w:t xml:space="preserve">CB2 receptor is a main component of these processes (Sahu et al., 2019). Glia </w:t>
      </w:r>
      <w:r w:rsidR="005313A7">
        <w:t>are implicated</w:t>
      </w:r>
      <w:r w:rsidR="00900886">
        <w:t xml:space="preserve"> </w:t>
      </w:r>
      <w:r w:rsidRPr="00AF3362">
        <w:t xml:space="preserve">in schizophrenia pathogenesis, and </w:t>
      </w:r>
      <w:r w:rsidR="00900886">
        <w:t xml:space="preserve">the </w:t>
      </w:r>
      <w:r w:rsidRPr="00AF3362">
        <w:t xml:space="preserve">CB2 receptor is relevant </w:t>
      </w:r>
      <w:r w:rsidR="00F05F52" w:rsidRPr="00AF3362">
        <w:t>(De Almeida and Martins-de-Souza 2018).</w:t>
      </w:r>
      <w:r w:rsidRPr="00AF3362">
        <w:t xml:space="preserve"> It has been hypothesi</w:t>
      </w:r>
      <w:r w:rsidR="0094768E">
        <w:t>s</w:t>
      </w:r>
      <w:r w:rsidRPr="00AF3362">
        <w:t xml:space="preserve">ed that an increased number of activated microglial cells in patients with schizophrenia contribute to disease pathogenesis (Jucket et al., 2011). </w:t>
      </w:r>
    </w:p>
    <w:p w:rsidR="003E7904" w:rsidRPr="00AF3362" w:rsidRDefault="00BA0F84">
      <w:pPr>
        <w:spacing w:line="360" w:lineRule="auto"/>
        <w:jc w:val="both"/>
        <w:rPr>
          <w:strike/>
        </w:rPr>
      </w:pPr>
      <w:r w:rsidRPr="00AF3362">
        <w:t>Furthermore, in Alzheimer´s disease, CB2 receptors are abundantly and selectively expressed in neuritic plaque-associated astrocytes and microglia, respectively (Benito et al., 2003), and activation of CB2 receptors expressed by immune cells is likely to reduce their antiviral response</w:t>
      </w:r>
      <w:r w:rsidR="00B96F34">
        <w:t xml:space="preserve">, </w:t>
      </w:r>
      <w:r w:rsidRPr="00AF3362">
        <w:t>thus favo</w:t>
      </w:r>
      <w:r w:rsidR="00B96F34">
        <w:t>u</w:t>
      </w:r>
      <w:r w:rsidRPr="00AF3362">
        <w:t>r</w:t>
      </w:r>
      <w:r w:rsidR="00B96F34">
        <w:t>ing</w:t>
      </w:r>
      <w:r w:rsidRPr="00AF3362">
        <w:t xml:space="preserve"> the CNS entry of infected monocytes with simian immunodeficiency virus (Benito et al., 2005). </w:t>
      </w:r>
    </w:p>
    <w:p w:rsidR="003E7904" w:rsidRPr="00AF3362" w:rsidRDefault="00BA0F84">
      <w:pPr>
        <w:spacing w:line="360" w:lineRule="auto"/>
        <w:jc w:val="both"/>
      </w:pPr>
      <w:r w:rsidRPr="00AF3362">
        <w:t xml:space="preserve">Thus, overactivation of </w:t>
      </w:r>
      <w:r w:rsidR="00B96F34">
        <w:t xml:space="preserve">the </w:t>
      </w:r>
      <w:r w:rsidRPr="00AF3362">
        <w:t xml:space="preserve">CB2 receptor could be a psychosis vulnerability factor, and cannabis use </w:t>
      </w:r>
      <w:r w:rsidR="00B96F34">
        <w:t xml:space="preserve">could </w:t>
      </w:r>
      <w:r w:rsidRPr="00AF3362">
        <w:t xml:space="preserve">provoke psychosis in these vulnerable subjects. It has been </w:t>
      </w:r>
      <w:r w:rsidR="006A1B1E">
        <w:t xml:space="preserve">found </w:t>
      </w:r>
      <w:r w:rsidRPr="00AF3362">
        <w:t xml:space="preserve">that THC inhibits the chemotactic response of microglia through </w:t>
      </w:r>
      <w:r w:rsidR="00AF3362">
        <w:t xml:space="preserve">activation of the CB2 receptor </w:t>
      </w:r>
      <w:r w:rsidRPr="00AF3362">
        <w:t xml:space="preserve">(Cabral, Raborn, Griffin, Dennis &amp; Marciano-Cabral, 2008). Furthermore, cannabis use in the context of specific cannabinoid receptor genotypes may contribute to white matter abnormalities, which could in turn increase schizophrenia risk (Ho, Wassink, Ziebell &amp; Andreasen, 2011). White matter alterations are relevant in schizophrenia, and adolescent cannabis use has specific effects </w:t>
      </w:r>
      <w:r w:rsidR="006A1B1E">
        <w:t>o</w:t>
      </w:r>
      <w:r w:rsidRPr="00AF3362">
        <w:t>n these abnormalities (Peters, Blaas &amp; de Haan, 2010).</w:t>
      </w:r>
    </w:p>
    <w:p w:rsidR="003E7904" w:rsidRPr="00AF3362" w:rsidRDefault="00537AD4">
      <w:pPr>
        <w:spacing w:line="360" w:lineRule="auto"/>
        <w:jc w:val="both"/>
      </w:pPr>
      <w:r>
        <w:t>In addition</w:t>
      </w:r>
      <w:r w:rsidR="00BA0F84" w:rsidRPr="00AF3362">
        <w:t xml:space="preserve">, the expression of </w:t>
      </w:r>
      <w:r w:rsidR="00BA0F84" w:rsidRPr="00AF3362">
        <w:rPr>
          <w:i/>
        </w:rPr>
        <w:t xml:space="preserve">CNR2 </w:t>
      </w:r>
      <w:r w:rsidR="00BA0F84" w:rsidRPr="00AF3362">
        <w:t xml:space="preserve">gene transcripts in animals treated with drugs of abuse </w:t>
      </w:r>
      <w:r>
        <w:t>is increased</w:t>
      </w:r>
      <w:r w:rsidR="00BA0F84" w:rsidRPr="00AF3362">
        <w:t xml:space="preserve"> in comparison with controls (Ishiguro et al., 2007). Therefore, cannabis use could modify </w:t>
      </w:r>
      <w:r w:rsidR="00BA0F84" w:rsidRPr="00AF3362">
        <w:rPr>
          <w:i/>
        </w:rPr>
        <w:t>CNR2</w:t>
      </w:r>
      <w:r w:rsidR="00BA0F84" w:rsidRPr="00AF3362">
        <w:t xml:space="preserve"> transcription, and in subjects with </w:t>
      </w:r>
      <w:r w:rsidR="0038563A">
        <w:t xml:space="preserve">highly activated </w:t>
      </w:r>
      <w:r w:rsidR="00BA0F84" w:rsidRPr="00AF3362">
        <w:t>CB2 receptors</w:t>
      </w:r>
      <w:r w:rsidR="0038563A">
        <w:t>,</w:t>
      </w:r>
      <w:r w:rsidR="00BA0F84" w:rsidRPr="00AF3362">
        <w:t xml:space="preserve"> could contribute to psychotic symptoms through an unknown mechanism.</w:t>
      </w:r>
      <w:r w:rsidR="0098027C" w:rsidRPr="00AF3362">
        <w:t xml:space="preserve"> </w:t>
      </w:r>
      <w:r w:rsidR="0038563A">
        <w:t xml:space="preserve">It </w:t>
      </w:r>
      <w:r w:rsidR="00BA0F84" w:rsidRPr="00AF3362">
        <w:t xml:space="preserve">has </w:t>
      </w:r>
      <w:r w:rsidR="0038563A">
        <w:t xml:space="preserve">also </w:t>
      </w:r>
      <w:r w:rsidR="00BA0F84" w:rsidRPr="00AF3362">
        <w:t xml:space="preserve">been reported that clinical remission </w:t>
      </w:r>
      <w:r w:rsidR="0038563A">
        <w:t>from</w:t>
      </w:r>
      <w:r w:rsidR="00BA0F84" w:rsidRPr="00AF3362">
        <w:t xml:space="preserve"> schizophrenia is accompanied by significant decreases in CNR2</w:t>
      </w:r>
      <w:r w:rsidR="00BA0F84" w:rsidRPr="00AF3362">
        <w:rPr>
          <w:i/>
        </w:rPr>
        <w:t xml:space="preserve"> </w:t>
      </w:r>
      <w:r w:rsidR="0098027C" w:rsidRPr="00AF3362">
        <w:t>mRNA levels</w:t>
      </w:r>
      <w:r w:rsidR="00BA0F84" w:rsidRPr="00AF3362">
        <w:t xml:space="preserve"> in </w:t>
      </w:r>
      <w:r w:rsidR="00C04D05">
        <w:t xml:space="preserve">mononuclear </w:t>
      </w:r>
      <w:r w:rsidR="00BA0F84" w:rsidRPr="00AF3362">
        <w:t xml:space="preserve">peripheral blood cells (De Marchi et al., 2003). </w:t>
      </w:r>
    </w:p>
    <w:p w:rsidR="00E02AB7" w:rsidRPr="00122C96" w:rsidRDefault="00DC0E4D">
      <w:pPr>
        <w:spacing w:line="360" w:lineRule="auto"/>
        <w:jc w:val="both"/>
      </w:pPr>
      <w:r>
        <w:t>The l</w:t>
      </w:r>
      <w:r w:rsidR="00BA0F84" w:rsidRPr="00AF3362">
        <w:t xml:space="preserve">imitations of this study are related to the nature of association studies and therefore, our results must be interpreted </w:t>
      </w:r>
      <w:r>
        <w:t xml:space="preserve">with </w:t>
      </w:r>
      <w:r w:rsidR="00E60686">
        <w:t xml:space="preserve">some </w:t>
      </w:r>
      <w:r>
        <w:t>caution</w:t>
      </w:r>
      <w:r w:rsidR="00BA0F84" w:rsidRPr="00AF3362">
        <w:t xml:space="preserve">. The strength of our results is </w:t>
      </w:r>
      <w:r w:rsidR="008F144F">
        <w:t>limited</w:t>
      </w:r>
      <w:r w:rsidR="00BA0F84" w:rsidRPr="00AF3362">
        <w:t xml:space="preserve"> by a small sample size, particularly in the cannabis</w:t>
      </w:r>
      <w:r w:rsidR="004D4D3A">
        <w:t xml:space="preserve"> </w:t>
      </w:r>
      <w:r w:rsidR="00BA0F84" w:rsidRPr="00AF3362">
        <w:t>dependent group. It would be preferable to replicate our genetic studies in independent samples, since this could clarify the possible role of</w:t>
      </w:r>
      <w:r w:rsidR="008F144F">
        <w:t xml:space="preserve"> the</w:t>
      </w:r>
      <w:r w:rsidR="00BA0F84" w:rsidRPr="00AF3362">
        <w:rPr>
          <w:i/>
        </w:rPr>
        <w:t xml:space="preserve"> CNR1, CNR2, and FAAH</w:t>
      </w:r>
      <w:r w:rsidR="00BA0F84" w:rsidRPr="00AF3362">
        <w:t xml:space="preserve"> gene</w:t>
      </w:r>
      <w:r w:rsidR="00BA0F84" w:rsidRPr="00AF3362">
        <w:rPr>
          <w:i/>
        </w:rPr>
        <w:t xml:space="preserve"> </w:t>
      </w:r>
      <w:r w:rsidR="00BA0F84" w:rsidRPr="00AF3362">
        <w:t>variants</w:t>
      </w:r>
      <w:r w:rsidR="00BA0F84" w:rsidRPr="00AF3362">
        <w:rPr>
          <w:i/>
        </w:rPr>
        <w:t>.</w:t>
      </w:r>
      <w:r w:rsidR="00BA0F84" w:rsidRPr="00AF3362">
        <w:t xml:space="preserve"> Secondly, </w:t>
      </w:r>
      <w:r w:rsidR="008F144F">
        <w:t xml:space="preserve">the possibility of </w:t>
      </w:r>
      <w:r w:rsidR="00BA0F84" w:rsidRPr="00AF3362">
        <w:t xml:space="preserve">a result </w:t>
      </w:r>
      <w:r w:rsidR="008F144F">
        <w:t xml:space="preserve">occurring </w:t>
      </w:r>
      <w:r w:rsidR="00BA0F84" w:rsidRPr="00AF3362">
        <w:t xml:space="preserve">by chance cannot be </w:t>
      </w:r>
      <w:r w:rsidR="00D47703">
        <w:t>ruled out</w:t>
      </w:r>
      <w:r w:rsidR="00BA0F84" w:rsidRPr="00AF3362">
        <w:t xml:space="preserve">, although we </w:t>
      </w:r>
      <w:r w:rsidR="00E129DE">
        <w:t xml:space="preserve">did </w:t>
      </w:r>
      <w:r w:rsidR="00BA0F84" w:rsidRPr="00AF3362">
        <w:t>appl</w:t>
      </w:r>
      <w:r w:rsidR="00E129DE">
        <w:t>y</w:t>
      </w:r>
      <w:r w:rsidR="00BA0F84" w:rsidRPr="00AF3362">
        <w:t xml:space="preserve"> Bonferroni correction. </w:t>
      </w:r>
      <w:r w:rsidR="00BA0F84" w:rsidRPr="00122C96">
        <w:t>These results should th</w:t>
      </w:r>
      <w:r w:rsidR="00AC41EC" w:rsidRPr="00122C96">
        <w:t>erefore</w:t>
      </w:r>
      <w:r w:rsidR="00BA0F84" w:rsidRPr="00122C96">
        <w:t xml:space="preserve"> be confirmed </w:t>
      </w:r>
      <w:r w:rsidR="008F144F" w:rsidRPr="00122C96">
        <w:t>among</w:t>
      </w:r>
      <w:r w:rsidR="00BA0F84" w:rsidRPr="00122C96">
        <w:t xml:space="preserve"> a larger population. </w:t>
      </w:r>
      <w:r w:rsidR="008F58DC" w:rsidRPr="00122C96">
        <w:t>Likewise</w:t>
      </w:r>
      <w:r w:rsidR="00755F9C" w:rsidRPr="00122C96">
        <w:t>, it would have been useful</w:t>
      </w:r>
      <w:r w:rsidR="0038131C" w:rsidRPr="00122C96">
        <w:t xml:space="preserve"> to administer the PANNS scale to</w:t>
      </w:r>
      <w:r w:rsidR="008F58DC" w:rsidRPr="00122C96">
        <w:t xml:space="preserve"> </w:t>
      </w:r>
      <w:r w:rsidR="00921DD6" w:rsidRPr="00122C96">
        <w:t>the controls and</w:t>
      </w:r>
      <w:r w:rsidR="0038131C" w:rsidRPr="00122C96">
        <w:t xml:space="preserve"> in particular to</w:t>
      </w:r>
      <w:r w:rsidR="008F58DC" w:rsidRPr="00122C96">
        <w:t xml:space="preserve"> </w:t>
      </w:r>
      <w:r w:rsidR="00BC56EF" w:rsidRPr="00122C96">
        <w:t xml:space="preserve">the </w:t>
      </w:r>
      <w:r w:rsidR="003E693C" w:rsidRPr="00122C96">
        <w:t xml:space="preserve">CUD </w:t>
      </w:r>
      <w:r w:rsidR="008F58DC" w:rsidRPr="00122C96">
        <w:t xml:space="preserve">subjects, in order to rule out </w:t>
      </w:r>
      <w:r w:rsidR="000276F9" w:rsidRPr="00122C96">
        <w:t xml:space="preserve">clinical </w:t>
      </w:r>
      <w:r w:rsidR="008F58DC" w:rsidRPr="00122C96">
        <w:t xml:space="preserve">psychotic </w:t>
      </w:r>
      <w:r w:rsidR="000276F9" w:rsidRPr="00122C96">
        <w:t xml:space="preserve">symptoms. Urine tests for detecting drugs were not carried out on the control group so it is possible that some subjects were using cannabis. </w:t>
      </w:r>
      <w:r w:rsidR="0047102C" w:rsidRPr="00122C96">
        <w:t xml:space="preserve">Drug </w:t>
      </w:r>
      <w:r w:rsidR="000276F9" w:rsidRPr="00122C96">
        <w:t>testing was conducted on the non-cannabis using schizophrenia group</w:t>
      </w:r>
      <w:r w:rsidR="00E02AB7" w:rsidRPr="00122C96">
        <w:t>.</w:t>
      </w:r>
    </w:p>
    <w:p w:rsidR="003E7904" w:rsidRPr="00AF3362" w:rsidRDefault="00BA0F84">
      <w:pPr>
        <w:pBdr>
          <w:top w:val="nil"/>
          <w:left w:val="nil"/>
          <w:bottom w:val="nil"/>
          <w:right w:val="nil"/>
          <w:between w:val="nil"/>
        </w:pBdr>
        <w:spacing w:after="120" w:line="360" w:lineRule="auto"/>
        <w:jc w:val="both"/>
      </w:pPr>
      <w:r w:rsidRPr="00AF3362">
        <w:t xml:space="preserve">Despite these limitations, we believe our study has identified a major genetic protective factor </w:t>
      </w:r>
      <w:r w:rsidR="00176276">
        <w:t>against</w:t>
      </w:r>
      <w:r w:rsidRPr="00AF3362">
        <w:t xml:space="preserve"> cannabis-associated psychosis in the Spanish population, which deserves greater attention in future</w:t>
      </w:r>
      <w:r w:rsidR="00176276">
        <w:t xml:space="preserve"> </w:t>
      </w:r>
      <w:r w:rsidRPr="00AF3362">
        <w:t xml:space="preserve">investigations. </w:t>
      </w:r>
      <w:r w:rsidR="00EA70C7">
        <w:t xml:space="preserve">That </w:t>
      </w:r>
      <w:r w:rsidRPr="00AF3362">
        <w:t xml:space="preserve">research should also examine whether specific phenotypic characteristics, such as symptom profile, age at onset, and treatment response, are associated with the </w:t>
      </w:r>
      <w:r w:rsidRPr="00AF3362">
        <w:rPr>
          <w:i/>
        </w:rPr>
        <w:t xml:space="preserve">CNR2 </w:t>
      </w:r>
      <w:r w:rsidRPr="00AF3362">
        <w:t>polymorphism. No previous report</w:t>
      </w:r>
      <w:r w:rsidR="00EA70C7">
        <w:t>s</w:t>
      </w:r>
      <w:r w:rsidRPr="00AF3362">
        <w:t xml:space="preserve"> </w:t>
      </w:r>
      <w:r w:rsidR="00431C44">
        <w:t>on</w:t>
      </w:r>
      <w:r w:rsidRPr="00AF3362">
        <w:t xml:space="preserve"> these polymorphisms in cannabinoid-associated psychosis</w:t>
      </w:r>
      <w:r w:rsidR="00EA70C7">
        <w:t xml:space="preserve"> are available</w:t>
      </w:r>
      <w:r w:rsidRPr="00AF3362">
        <w:t xml:space="preserve">. The mutation detected by this polymorphism results in </w:t>
      </w:r>
      <w:r w:rsidR="002D6920">
        <w:t>a</w:t>
      </w:r>
      <w:r w:rsidRPr="00AF3362">
        <w:t xml:space="preserve"> change in the amino acid sequence of the protein, so direct functional consequence</w:t>
      </w:r>
      <w:r w:rsidR="00A26BAB">
        <w:t>s</w:t>
      </w:r>
      <w:r w:rsidRPr="00AF3362">
        <w:t xml:space="preserve"> </w:t>
      </w:r>
      <w:r w:rsidR="00A26BAB">
        <w:t>are</w:t>
      </w:r>
      <w:r w:rsidRPr="00AF3362">
        <w:t xml:space="preserve"> expected. </w:t>
      </w:r>
      <w:r w:rsidR="004D4D3A">
        <w:t xml:space="preserve">Cannabis </w:t>
      </w:r>
      <w:r w:rsidR="00A26BAB">
        <w:t>dependent subjects with t</w:t>
      </w:r>
      <w:r w:rsidRPr="00AF3362">
        <w:t xml:space="preserve">he TT genotype  </w:t>
      </w:r>
      <w:r w:rsidR="00FD08EF">
        <w:t>exhibited</w:t>
      </w:r>
      <w:r w:rsidR="00A26BAB">
        <w:t xml:space="preserve"> </w:t>
      </w:r>
      <w:r w:rsidRPr="00AF3362">
        <w:t xml:space="preserve">a significantly </w:t>
      </w:r>
      <w:r w:rsidR="00A26BAB">
        <w:t xml:space="preserve">higher </w:t>
      </w:r>
      <w:r w:rsidRPr="00AF3362">
        <w:t xml:space="preserve">risk </w:t>
      </w:r>
      <w:r w:rsidR="00A26BAB">
        <w:t>of</w:t>
      </w:r>
      <w:r w:rsidRPr="00AF3362">
        <w:t xml:space="preserve"> psycho</w:t>
      </w:r>
      <w:r w:rsidR="00FD08EF">
        <w:t>sis</w:t>
      </w:r>
      <w:r w:rsidRPr="00AF3362">
        <w:t xml:space="preserve">. These findings suggest that dysfunction of the endocannabinoid system due to genetic mutation may constitute a risk factor for cannabis-associated psychosis. </w:t>
      </w:r>
    </w:p>
    <w:p w:rsidR="003E7904" w:rsidRPr="00AF3362" w:rsidRDefault="00BA0F84">
      <w:pPr>
        <w:pBdr>
          <w:top w:val="nil"/>
          <w:left w:val="nil"/>
          <w:bottom w:val="nil"/>
          <w:right w:val="nil"/>
          <w:between w:val="nil"/>
        </w:pBdr>
        <w:spacing w:after="120" w:line="360" w:lineRule="auto"/>
        <w:jc w:val="both"/>
      </w:pPr>
      <w:r w:rsidRPr="00AF3362">
        <w:t>Apart from genetic variants</w:t>
      </w:r>
      <w:r w:rsidR="00AE398B">
        <w:t>,</w:t>
      </w:r>
      <w:r w:rsidRPr="00AF3362">
        <w:t xml:space="preserve"> </w:t>
      </w:r>
      <w:r w:rsidR="005E29F1" w:rsidRPr="009F7A16">
        <w:t>it would also be advisable to include epigenetic variables in future research. Changes in DNA methylation in the promot</w:t>
      </w:r>
      <w:r w:rsidR="0061675A" w:rsidRPr="00122C96">
        <w:t>o</w:t>
      </w:r>
      <w:r w:rsidR="005E29F1" w:rsidRPr="009F7A16">
        <w:t xml:space="preserve">r region of </w:t>
      </w:r>
      <w:r w:rsidR="005E29F1" w:rsidRPr="009F7A16">
        <w:rPr>
          <w:i/>
        </w:rPr>
        <w:t>CNR1</w:t>
      </w:r>
      <w:r w:rsidR="005E29F1" w:rsidRPr="009F7A16">
        <w:t xml:space="preserve"> genes in schizophrenic patients have been described</w:t>
      </w:r>
      <w:r w:rsidRPr="00AF3362">
        <w:t xml:space="preserve"> (D’Addario et al., 2017</w:t>
      </w:r>
      <w:r w:rsidR="0098027C" w:rsidRPr="00AF3362">
        <w:t xml:space="preserve">; </w:t>
      </w:r>
      <w:r w:rsidRPr="00AF3362">
        <w:t xml:space="preserve">Tao et al., 2020).  </w:t>
      </w:r>
    </w:p>
    <w:p w:rsidR="003E7904" w:rsidRPr="00AF3362" w:rsidRDefault="00BA0F84">
      <w:pPr>
        <w:pBdr>
          <w:top w:val="nil"/>
          <w:left w:val="nil"/>
          <w:bottom w:val="nil"/>
          <w:right w:val="nil"/>
          <w:between w:val="nil"/>
        </w:pBdr>
        <w:spacing w:after="120" w:line="360" w:lineRule="auto"/>
        <w:jc w:val="both"/>
      </w:pPr>
      <w:r w:rsidRPr="00AF3362">
        <w:t xml:space="preserve">Finally, we did not find a relationship between </w:t>
      </w:r>
      <w:r w:rsidRPr="00AF3362">
        <w:rPr>
          <w:i/>
        </w:rPr>
        <w:t>CNR1</w:t>
      </w:r>
      <w:r w:rsidRPr="00AF3362">
        <w:t xml:space="preserve"> and </w:t>
      </w:r>
      <w:r w:rsidRPr="00AF3362">
        <w:rPr>
          <w:i/>
        </w:rPr>
        <w:t>FAAH</w:t>
      </w:r>
      <w:r w:rsidRPr="00AF3362">
        <w:t xml:space="preserve"> variants and psychosis. Overall, our findings suggest that </w:t>
      </w:r>
      <w:r w:rsidRPr="00AF3362">
        <w:rPr>
          <w:i/>
        </w:rPr>
        <w:t>FAAH</w:t>
      </w:r>
      <w:r w:rsidRPr="00AF3362">
        <w:t xml:space="preserve"> variants are associated with cannabis dependence but not with schizophrenia in Spanish patients, which would imply that differences in endocannabinoid function could play a part in the pathophysiology of this illness. Confirmation of our findings among other populations and independent samples would be useful for the design of pharmacological strategies focused on prophylaxis and treatment of these patients. </w:t>
      </w:r>
    </w:p>
    <w:p w:rsidR="003E7904" w:rsidRPr="00AF3362" w:rsidRDefault="003E7904">
      <w:pPr>
        <w:spacing w:line="360" w:lineRule="auto"/>
        <w:ind w:right="142"/>
        <w:jc w:val="both"/>
      </w:pPr>
    </w:p>
    <w:p w:rsidR="003E7904" w:rsidRPr="00AF3362" w:rsidRDefault="00BA0F84">
      <w:pPr>
        <w:shd w:val="clear" w:color="auto" w:fill="FFFFFF"/>
        <w:spacing w:line="360" w:lineRule="auto"/>
        <w:jc w:val="center"/>
      </w:pPr>
      <w:r w:rsidRPr="00AF3362">
        <w:t>Financial disclosure</w:t>
      </w:r>
    </w:p>
    <w:p w:rsidR="003E7904" w:rsidRPr="00AF3362" w:rsidRDefault="00BA0F84">
      <w:pPr>
        <w:shd w:val="clear" w:color="auto" w:fill="FFFFFF"/>
        <w:spacing w:line="360" w:lineRule="auto"/>
        <w:jc w:val="both"/>
      </w:pPr>
      <w:r w:rsidRPr="00AF3362">
        <w:t>The work was supported by Plan Nacional sobre Drogas Orden SAS/3031/2009, 26 de octubre.</w:t>
      </w:r>
    </w:p>
    <w:p w:rsidR="008D4030" w:rsidRPr="00AF3362" w:rsidRDefault="008D4030" w:rsidP="008D4030">
      <w:pPr>
        <w:shd w:val="clear" w:color="auto" w:fill="FFFFFF"/>
        <w:tabs>
          <w:tab w:val="left" w:pos="5490"/>
        </w:tabs>
        <w:spacing w:line="360" w:lineRule="auto"/>
        <w:ind w:right="60"/>
        <w:jc w:val="both"/>
        <w:rPr>
          <w:rFonts w:asciiTheme="minorHAnsi" w:hAnsiTheme="minorHAnsi"/>
          <w:highlight w:val="yellow"/>
        </w:rPr>
      </w:pPr>
    </w:p>
    <w:p w:rsidR="003E7904" w:rsidRPr="00AF3362" w:rsidRDefault="00BA0F84">
      <w:pPr>
        <w:shd w:val="clear" w:color="auto" w:fill="FFFFFF"/>
        <w:tabs>
          <w:tab w:val="left" w:pos="5490"/>
        </w:tabs>
        <w:spacing w:line="360" w:lineRule="auto"/>
        <w:ind w:right="60"/>
        <w:jc w:val="center"/>
      </w:pPr>
      <w:r w:rsidRPr="00AF3362">
        <w:t>Conflicts of interest</w:t>
      </w:r>
    </w:p>
    <w:p w:rsidR="003E7904" w:rsidRPr="00AF3362" w:rsidRDefault="00BA0F84">
      <w:pPr>
        <w:shd w:val="clear" w:color="auto" w:fill="FFFFFF"/>
        <w:tabs>
          <w:tab w:val="left" w:pos="5490"/>
        </w:tabs>
        <w:spacing w:line="360" w:lineRule="auto"/>
        <w:ind w:right="60"/>
      </w:pPr>
      <w:r w:rsidRPr="00AF3362">
        <w:t xml:space="preserve">The authors </w:t>
      </w:r>
      <w:r w:rsidR="001C7A65">
        <w:t>confirm</w:t>
      </w:r>
      <w:r w:rsidRPr="00AF3362">
        <w:t xml:space="preserve"> </w:t>
      </w:r>
      <w:r w:rsidR="001C7A65">
        <w:t xml:space="preserve">that there are </w:t>
      </w:r>
      <w:r w:rsidRPr="00AF3362">
        <w:t>no conflict</w:t>
      </w:r>
      <w:r w:rsidR="001C7A65">
        <w:t>s</w:t>
      </w:r>
      <w:r w:rsidRPr="00AF3362">
        <w:t xml:space="preserve"> of interest.</w:t>
      </w:r>
    </w:p>
    <w:p w:rsidR="008D4030" w:rsidRPr="00AF3362" w:rsidRDefault="008D4030">
      <w:pPr>
        <w:shd w:val="clear" w:color="auto" w:fill="FFFFFF"/>
        <w:tabs>
          <w:tab w:val="left" w:pos="5490"/>
        </w:tabs>
        <w:spacing w:line="360" w:lineRule="auto"/>
        <w:ind w:right="60"/>
        <w:jc w:val="center"/>
      </w:pPr>
    </w:p>
    <w:p w:rsidR="003E7904" w:rsidRPr="00AF3362" w:rsidRDefault="00BA0F84">
      <w:pPr>
        <w:shd w:val="clear" w:color="auto" w:fill="FFFFFF"/>
        <w:tabs>
          <w:tab w:val="left" w:pos="5490"/>
        </w:tabs>
        <w:spacing w:line="360" w:lineRule="auto"/>
        <w:ind w:right="60"/>
        <w:jc w:val="center"/>
      </w:pPr>
      <w:r w:rsidRPr="00AF3362">
        <w:t>A</w:t>
      </w:r>
      <w:r w:rsidR="008D4030" w:rsidRPr="00AF3362">
        <w:t>c</w:t>
      </w:r>
      <w:r w:rsidRPr="00AF3362">
        <w:t>knowledg</w:t>
      </w:r>
      <w:r w:rsidR="008D4030" w:rsidRPr="00AF3362">
        <w:t>e</w:t>
      </w:r>
      <w:r w:rsidRPr="00AF3362">
        <w:t>ments</w:t>
      </w:r>
    </w:p>
    <w:p w:rsidR="003E7904" w:rsidRPr="00AF3362" w:rsidRDefault="00BA0F84">
      <w:pPr>
        <w:shd w:val="clear" w:color="auto" w:fill="FFFFFF"/>
        <w:spacing w:before="240" w:after="240" w:line="360" w:lineRule="auto"/>
        <w:jc w:val="both"/>
      </w:pPr>
      <w:bookmarkStart w:id="12" w:name="_heading=h.3rdcrjn" w:colFirst="0" w:colLast="0"/>
      <w:bookmarkEnd w:id="12"/>
      <w:r w:rsidRPr="00AF3362">
        <w:t xml:space="preserve">The authors would like to thank: </w:t>
      </w:r>
      <w:r w:rsidR="0070287D" w:rsidRPr="00AF3362">
        <w:t>Margarita Agujetas, Dolores Baño, Angela Domenech, Roc</w:t>
      </w:r>
      <w:r w:rsidR="00833CA4" w:rsidRPr="00AF3362">
        <w:t>í</w:t>
      </w:r>
      <w:r w:rsidR="0070287D" w:rsidRPr="00AF3362">
        <w:t>o Molina, Enriqueta Ochoa, Ruth Olmos, Gerardo Pacheco, Estrella Salvador, José Luis Santos, Agustín Soto, Carmen Tosio</w:t>
      </w:r>
      <w:r w:rsidR="0098027C" w:rsidRPr="00AF3362">
        <w:t xml:space="preserve"> and</w:t>
      </w:r>
      <w:r w:rsidR="0070287D" w:rsidRPr="00AF3362">
        <w:t xml:space="preserve"> Diego Urgelés</w:t>
      </w:r>
      <w:r w:rsidR="0098027C" w:rsidRPr="00AF3362">
        <w:rPr>
          <w:rFonts w:asciiTheme="minorHAnsi" w:hAnsiTheme="minorHAnsi" w:cs="AdvTT5235d5a9"/>
          <w:lang w:eastAsia="es-ES"/>
        </w:rPr>
        <w:t xml:space="preserve"> </w:t>
      </w:r>
      <w:r w:rsidR="0098027C" w:rsidRPr="00AF3362">
        <w:rPr>
          <w:lang w:eastAsia="es-ES"/>
        </w:rPr>
        <w:t>who assisted in the recruitment of study participants</w:t>
      </w:r>
      <w:r w:rsidR="00EA3565">
        <w:rPr>
          <w:lang w:eastAsia="es-ES"/>
        </w:rPr>
        <w:t>, along with</w:t>
      </w:r>
      <w:r w:rsidR="0070287D" w:rsidRPr="00AF3362">
        <w:t xml:space="preserve"> </w:t>
      </w:r>
      <w:r w:rsidRPr="00AF3362">
        <w:t>Marta Marín and Tomasz Dukanovich</w:t>
      </w:r>
      <w:r w:rsidR="0098027C" w:rsidRPr="00AF3362">
        <w:t xml:space="preserve"> who</w:t>
      </w:r>
      <w:r w:rsidRPr="00AF3362">
        <w:t xml:space="preserve"> help</w:t>
      </w:r>
      <w:r w:rsidR="0098027C" w:rsidRPr="00AF3362">
        <w:t>ed</w:t>
      </w:r>
      <w:r w:rsidRPr="00AF3362">
        <w:t xml:space="preserve"> </w:t>
      </w:r>
      <w:r w:rsidR="00EA3565">
        <w:t>with the</w:t>
      </w:r>
      <w:r w:rsidRPr="00AF3362">
        <w:t xml:space="preserve"> translation. </w:t>
      </w:r>
    </w:p>
    <w:p w:rsidR="003E7904" w:rsidRPr="00AF3362" w:rsidRDefault="003E7904">
      <w:pPr>
        <w:shd w:val="clear" w:color="auto" w:fill="FFFFFF"/>
        <w:tabs>
          <w:tab w:val="left" w:pos="5490"/>
        </w:tabs>
        <w:spacing w:line="360" w:lineRule="auto"/>
        <w:ind w:right="60"/>
        <w:jc w:val="center"/>
      </w:pPr>
    </w:p>
    <w:p w:rsidR="003E7904" w:rsidRPr="00AF3362" w:rsidRDefault="00BA0F84">
      <w:pPr>
        <w:pBdr>
          <w:top w:val="nil"/>
          <w:left w:val="nil"/>
          <w:bottom w:val="nil"/>
          <w:right w:val="nil"/>
          <w:between w:val="nil"/>
        </w:pBdr>
        <w:shd w:val="clear" w:color="auto" w:fill="FFFFFF"/>
        <w:spacing w:line="360" w:lineRule="auto"/>
        <w:rPr>
          <w:b/>
        </w:rPr>
      </w:pPr>
      <w:r w:rsidRPr="00AF3362">
        <w:rPr>
          <w:b/>
        </w:rPr>
        <w:t>References</w:t>
      </w:r>
    </w:p>
    <w:p w:rsidR="0098027C" w:rsidRPr="00AF3362" w:rsidRDefault="0098027C">
      <w:pPr>
        <w:pBdr>
          <w:top w:val="nil"/>
          <w:left w:val="nil"/>
          <w:bottom w:val="nil"/>
          <w:right w:val="nil"/>
          <w:between w:val="nil"/>
        </w:pBdr>
        <w:shd w:val="clear" w:color="auto" w:fill="FFFFFF"/>
        <w:spacing w:line="360" w:lineRule="auto"/>
        <w:rPr>
          <w:b/>
        </w:rPr>
      </w:pPr>
    </w:p>
    <w:p w:rsidR="003E7904" w:rsidRPr="00AF3362" w:rsidRDefault="00BA0F84" w:rsidP="00F1261A">
      <w:pPr>
        <w:spacing w:after="160" w:line="360" w:lineRule="auto"/>
        <w:ind w:hanging="720"/>
        <w:jc w:val="both"/>
      </w:pPr>
      <w:r w:rsidRPr="00AF3362">
        <w:t>Andreasen, N. (1995). Symptoms, signs, and diagnosis of schizophrenia. </w:t>
      </w:r>
      <w:r w:rsidRPr="00AF3362">
        <w:rPr>
          <w:i/>
        </w:rPr>
        <w:t>The Lancet</w:t>
      </w:r>
      <w:r w:rsidRPr="00AF3362">
        <w:t>, </w:t>
      </w:r>
      <w:r w:rsidRPr="00AF3362">
        <w:rPr>
          <w:i/>
        </w:rPr>
        <w:t>346</w:t>
      </w:r>
      <w:r w:rsidRPr="00AF3362">
        <w:t>, 477-481. doi: 10.1016/s0140-6736(95)91325-4</w:t>
      </w:r>
    </w:p>
    <w:p w:rsidR="003E7904" w:rsidRPr="00AF3362" w:rsidRDefault="00BA0F84" w:rsidP="00F1261A">
      <w:pPr>
        <w:spacing w:after="160" w:line="360" w:lineRule="auto"/>
        <w:ind w:hanging="720"/>
        <w:jc w:val="both"/>
      </w:pPr>
      <w:r w:rsidRPr="00AF3362">
        <w:t xml:space="preserve">Aas, M., Melle, I., Bettella, F., Djurovic, S., Le Hellard, S., Bjella, T., … Tesli, M. (2018). Psychotic patients who used cannabis frequently before illness onset have higher genetic predisposition to schizophrenia than those who did not. </w:t>
      </w:r>
      <w:r w:rsidRPr="00AF3362">
        <w:rPr>
          <w:i/>
        </w:rPr>
        <w:t>Psychological Medicine</w:t>
      </w:r>
      <w:r w:rsidR="00D0226B" w:rsidRPr="00AF3362">
        <w:t>,</w:t>
      </w:r>
      <w:r w:rsidRPr="00AF3362">
        <w:t xml:space="preserve"> </w:t>
      </w:r>
      <w:r w:rsidR="00D0226B" w:rsidRPr="00AF3362">
        <w:rPr>
          <w:i/>
          <w:iCs/>
        </w:rPr>
        <w:t>48</w:t>
      </w:r>
      <w:r w:rsidR="00D0226B" w:rsidRPr="00AF3362">
        <w:t xml:space="preserve">(1), 43–49. </w:t>
      </w:r>
      <w:r w:rsidRPr="00AF3362">
        <w:t>doi: 10.1017/S0033291717001209</w:t>
      </w:r>
    </w:p>
    <w:p w:rsidR="003E7904" w:rsidRPr="00AF3362" w:rsidRDefault="0098027C" w:rsidP="00F1261A">
      <w:pPr>
        <w:spacing w:after="160" w:line="360" w:lineRule="auto"/>
        <w:ind w:hanging="720"/>
        <w:jc w:val="both"/>
      </w:pPr>
      <w:r w:rsidRPr="00AF3362">
        <w:t>Bae, J. S.</w:t>
      </w:r>
      <w:r w:rsidR="00BA0F84" w:rsidRPr="00AF3362">
        <w:t>, Kim, J. Y., Park, B. L., Kim, J. H., Kim, B., Park</w:t>
      </w:r>
      <w:r w:rsidR="00A30ABA" w:rsidRPr="00AF3362">
        <w:t>, C. S.</w:t>
      </w:r>
      <w:r w:rsidR="00BA0F84" w:rsidRPr="00AF3362">
        <w:t xml:space="preserve">, … Woo, S. (2014). Genetic association analysis of CNR1 and CNR2 polymorphisms with schizophrenia in a Korean population. </w:t>
      </w:r>
      <w:r w:rsidR="00BA0F84" w:rsidRPr="00AF3362">
        <w:rPr>
          <w:i/>
        </w:rPr>
        <w:t>Psychiatric Genetics</w:t>
      </w:r>
      <w:r w:rsidR="00D0226B" w:rsidRPr="00AF3362">
        <w:t xml:space="preserve">, </w:t>
      </w:r>
      <w:r w:rsidR="00D0226B" w:rsidRPr="00AF3362">
        <w:rPr>
          <w:i/>
          <w:iCs/>
        </w:rPr>
        <w:t>24</w:t>
      </w:r>
      <w:r w:rsidR="00D0226B" w:rsidRPr="00AF3362">
        <w:t>(5), 225–229</w:t>
      </w:r>
      <w:r w:rsidR="00D0226B" w:rsidRPr="00AF3362">
        <w:rPr>
          <w:i/>
        </w:rPr>
        <w:t>.</w:t>
      </w:r>
      <w:r w:rsidR="00D0226B" w:rsidRPr="00AF3362">
        <w:t xml:space="preserve"> </w:t>
      </w:r>
      <w:r w:rsidR="00BA0F84" w:rsidRPr="00AF3362">
        <w:t xml:space="preserve"> doi: 10.1097/YPG.0000000000000047</w:t>
      </w:r>
    </w:p>
    <w:p w:rsidR="003E7904" w:rsidRPr="00AF3362" w:rsidRDefault="00BA0F84" w:rsidP="00F1261A">
      <w:pPr>
        <w:spacing w:after="160" w:line="360" w:lineRule="auto"/>
        <w:ind w:hanging="720"/>
        <w:jc w:val="both"/>
      </w:pPr>
      <w:r w:rsidRPr="00AF3362">
        <w:t xml:space="preserve">Ballon, N., Leroy, S., Roy, C., Bourdel, M. C., Charles-Nicolas, A., Krebs, M. O., &amp; Poirier, M. F. (2006). (AAT)n repeat in the cannabinoid receptor gene (CNR1): Association with cocaine addiction in an African-Caribbean population. </w:t>
      </w:r>
      <w:r w:rsidRPr="00AF3362">
        <w:rPr>
          <w:i/>
        </w:rPr>
        <w:t>Pharmacogenomics Journa</w:t>
      </w:r>
      <w:r w:rsidR="00D0226B" w:rsidRPr="00AF3362">
        <w:rPr>
          <w:i/>
        </w:rPr>
        <w:t>l,</w:t>
      </w:r>
      <w:r w:rsidR="00D0226B" w:rsidRPr="00AF3362">
        <w:t xml:space="preserve"> </w:t>
      </w:r>
      <w:r w:rsidR="00D0226B" w:rsidRPr="00AF3362">
        <w:rPr>
          <w:i/>
          <w:iCs/>
        </w:rPr>
        <w:t>6</w:t>
      </w:r>
      <w:r w:rsidR="00D0226B" w:rsidRPr="00AF3362">
        <w:t xml:space="preserve">(2), 126–130. </w:t>
      </w:r>
      <w:r w:rsidRPr="00AF3362">
        <w:t xml:space="preserve"> doi: 10.1038/sj.tpj.6500352</w:t>
      </w:r>
    </w:p>
    <w:p w:rsidR="003E7904" w:rsidRPr="00AF3362" w:rsidRDefault="00BA0F84" w:rsidP="00F1261A">
      <w:pPr>
        <w:spacing w:after="160" w:line="360" w:lineRule="auto"/>
        <w:ind w:hanging="720"/>
        <w:jc w:val="both"/>
      </w:pPr>
      <w:r w:rsidRPr="00AF3362">
        <w:t>Banaszkiewicz, I., Biala, G., &amp; Kruk-Slomka, M. (2020). Contribution of CB2 receptors in schizophrenia-related symptoms in various animal models: Short review. </w:t>
      </w:r>
      <w:r w:rsidRPr="00AF3362">
        <w:rPr>
          <w:i/>
        </w:rPr>
        <w:t>Neuroscience &amp; Biobehavioral Reviews</w:t>
      </w:r>
      <w:r w:rsidRPr="00AF3362">
        <w:t>, </w:t>
      </w:r>
      <w:r w:rsidRPr="00AF3362">
        <w:rPr>
          <w:i/>
        </w:rPr>
        <w:t>114</w:t>
      </w:r>
      <w:r w:rsidRPr="00AF3362">
        <w:t>, 158-171. doi: 10.1016/j.neubiorev.2020.04.020</w:t>
      </w:r>
    </w:p>
    <w:p w:rsidR="003E7904" w:rsidRPr="00AF3362" w:rsidRDefault="00BA0F84" w:rsidP="00F1261A">
      <w:pPr>
        <w:spacing w:after="160" w:line="360" w:lineRule="auto"/>
        <w:ind w:hanging="720"/>
        <w:jc w:val="both"/>
      </w:pPr>
      <w:r w:rsidRPr="00AF3362">
        <w:t xml:space="preserve">Benito, C., Núñez, E., Tolón, R. M., Carrier, E. J., Rábano, A., Hillard, C. J., &amp; Romero, J. (2003). Cannabinoid CB2 Receptors and Fatty Acid Amide Hydrolase Are Selectively Overexpressed in Neuritic Plaque-Associated Glia in Alzheimer’s Disease Brains. </w:t>
      </w:r>
      <w:r w:rsidRPr="00AF3362">
        <w:rPr>
          <w:i/>
        </w:rPr>
        <w:t>Journal of Neuroscience</w:t>
      </w:r>
      <w:r w:rsidR="00D0226B" w:rsidRPr="00AF3362">
        <w:t>,</w:t>
      </w:r>
      <w:r w:rsidRPr="00AF3362">
        <w:t xml:space="preserve"> </w:t>
      </w:r>
      <w:r w:rsidR="00D0226B" w:rsidRPr="00AF3362">
        <w:rPr>
          <w:i/>
          <w:iCs/>
        </w:rPr>
        <w:t>23</w:t>
      </w:r>
      <w:r w:rsidR="00D0226B" w:rsidRPr="00AF3362">
        <w:t xml:space="preserve">(35), 11136–1114. </w:t>
      </w:r>
      <w:r w:rsidRPr="00AF3362">
        <w:t>doi: 10.1523/JNEUROSCI.23-35-11136.2003</w:t>
      </w:r>
    </w:p>
    <w:p w:rsidR="003E7904" w:rsidRPr="00AF3362" w:rsidRDefault="00BA0F84" w:rsidP="00F1261A">
      <w:pPr>
        <w:spacing w:after="160" w:line="360" w:lineRule="auto"/>
        <w:ind w:hanging="720"/>
        <w:jc w:val="both"/>
        <w:rPr>
          <w:lang w:val="es-ES"/>
        </w:rPr>
      </w:pPr>
      <w:r w:rsidRPr="00AF3362">
        <w:t xml:space="preserve">Benito, C., Kim, W. K., Chavarría, I., Hillard, C. J., Mackie, K., Tolón, R. M., … Romero, J. (2005). A glial endogenous cannabinoid system is upregulated in the brains of macaques with simian immunodeficiency virus-induced encephalitis. </w:t>
      </w:r>
      <w:r w:rsidRPr="00AF3362">
        <w:rPr>
          <w:i/>
          <w:lang w:val="es-ES"/>
        </w:rPr>
        <w:t>Journal of Neuroscience</w:t>
      </w:r>
      <w:r w:rsidR="00D0226B" w:rsidRPr="00AF3362">
        <w:rPr>
          <w:i/>
          <w:lang w:val="es-ES"/>
        </w:rPr>
        <w:t>,</w:t>
      </w:r>
      <w:r w:rsidRPr="00AF3362">
        <w:rPr>
          <w:lang w:val="es-ES"/>
        </w:rPr>
        <w:t xml:space="preserve"> </w:t>
      </w:r>
      <w:r w:rsidR="00D0226B" w:rsidRPr="00AF3362">
        <w:rPr>
          <w:i/>
          <w:iCs/>
          <w:lang w:val="es-ES"/>
        </w:rPr>
        <w:t>23</w:t>
      </w:r>
      <w:r w:rsidR="00D0226B" w:rsidRPr="00AF3362">
        <w:rPr>
          <w:lang w:val="es-ES"/>
        </w:rPr>
        <w:t xml:space="preserve">(35), 11136–11141. </w:t>
      </w:r>
      <w:r w:rsidRPr="00AF3362">
        <w:rPr>
          <w:lang w:val="es-ES"/>
        </w:rPr>
        <w:t>doi: 10.1523/JNEUROSCI.3923-04.2005</w:t>
      </w:r>
    </w:p>
    <w:p w:rsidR="003E7904" w:rsidRPr="00AF3362" w:rsidRDefault="00BA0F84" w:rsidP="00F1261A">
      <w:pPr>
        <w:spacing w:after="160" w:line="360" w:lineRule="auto"/>
        <w:ind w:hanging="720"/>
        <w:jc w:val="both"/>
      </w:pPr>
      <w:r w:rsidRPr="00AF3362">
        <w:rPr>
          <w:lang w:val="es-ES"/>
        </w:rPr>
        <w:t xml:space="preserve">Bioque, M., Mas, S., Costanzo, M. C., Cabrera, B., Lobo, A., González-Pinto, A., … </w:t>
      </w:r>
      <w:r w:rsidRPr="00AF3362">
        <w:t xml:space="preserve">Balanzá-Martínez, V. (2019). Gene-environment interaction between an endocannabinoid system genetic polymorphism and cannabis use in first episode of psychosis. </w:t>
      </w:r>
      <w:r w:rsidRPr="00AF3362">
        <w:rPr>
          <w:i/>
        </w:rPr>
        <w:t>European Neuropsychopharmacology</w:t>
      </w:r>
      <w:r w:rsidR="00D0226B" w:rsidRPr="00AF3362">
        <w:rPr>
          <w:i/>
        </w:rPr>
        <w:t xml:space="preserve">, </w:t>
      </w:r>
      <w:r w:rsidRPr="00AF3362">
        <w:t xml:space="preserve"> </w:t>
      </w:r>
      <w:r w:rsidR="00D0226B" w:rsidRPr="00AF3362">
        <w:rPr>
          <w:i/>
          <w:iCs/>
        </w:rPr>
        <w:t>29</w:t>
      </w:r>
      <w:r w:rsidR="00D0226B" w:rsidRPr="00AF3362">
        <w:t xml:space="preserve">(6), 786–794. </w:t>
      </w:r>
      <w:r w:rsidRPr="00AF3362">
        <w:t>doi: 10.1016/j.euroneuro.2019.04.005</w:t>
      </w:r>
    </w:p>
    <w:p w:rsidR="00A15985" w:rsidRPr="00AF3362" w:rsidRDefault="00BA0F84" w:rsidP="00A15985">
      <w:pPr>
        <w:spacing w:after="160" w:line="360" w:lineRule="auto"/>
        <w:ind w:hanging="720"/>
        <w:jc w:val="both"/>
      </w:pPr>
      <w:r w:rsidRPr="00AF3362">
        <w:t xml:space="preserve">Boileau, I., Tyndale, R. F., Williams, B., Mansouri, E., Westwood, D. J., Le Foll, B., … Tong, J. (2015). The fatty acid amide hydrolase C385A variant affects brain binding of the positron emission tomography tracer [11C] CURB. </w:t>
      </w:r>
      <w:r w:rsidRPr="00AF3362">
        <w:rPr>
          <w:i/>
        </w:rPr>
        <w:t>Journal of Cerebral Blood Flow and Metabolism</w:t>
      </w:r>
      <w:r w:rsidR="00D0226B" w:rsidRPr="00AF3362">
        <w:rPr>
          <w:i/>
        </w:rPr>
        <w:t>,</w:t>
      </w:r>
      <w:r w:rsidRPr="00AF3362">
        <w:t xml:space="preserve"> </w:t>
      </w:r>
      <w:r w:rsidR="00D0226B" w:rsidRPr="00AF3362">
        <w:rPr>
          <w:i/>
          <w:iCs/>
        </w:rPr>
        <w:t>35</w:t>
      </w:r>
      <w:r w:rsidR="00D0226B" w:rsidRPr="00AF3362">
        <w:t xml:space="preserve">(8), 1237–1240. </w:t>
      </w:r>
      <w:r w:rsidRPr="00AF3362">
        <w:t>doi: 10.1038/jcbfm.2015.119</w:t>
      </w:r>
    </w:p>
    <w:p w:rsidR="00A15985" w:rsidRPr="00AF3362" w:rsidRDefault="00A15985" w:rsidP="00A15985">
      <w:pPr>
        <w:spacing w:after="160" w:line="360" w:lineRule="auto"/>
        <w:ind w:hanging="720"/>
        <w:jc w:val="both"/>
      </w:pPr>
      <w:r w:rsidRPr="00AF3362">
        <w:rPr>
          <w:lang w:eastAsia="es-ES"/>
        </w:rPr>
        <w:t>Boileau, I., Mansouri, E., Williams, B., Le Foll, B., Rusjan, P., Mizrahi, R., …. &amp; Tong, J. (2016). Fatty Acid Amide Hydrolase Binding in Brain of Cannabis Users: Imaging With the Novel Radiotracer [</w:t>
      </w:r>
      <w:r w:rsidRPr="00AF3362">
        <w:rPr>
          <w:vertAlign w:val="superscript"/>
          <w:lang w:eastAsia="es-ES"/>
        </w:rPr>
        <w:t>11</w:t>
      </w:r>
      <w:r w:rsidRPr="00AF3362">
        <w:rPr>
          <w:lang w:eastAsia="es-ES"/>
        </w:rPr>
        <w:t xml:space="preserve">C]CURB. </w:t>
      </w:r>
      <w:r w:rsidRPr="00AF3362">
        <w:rPr>
          <w:i/>
          <w:iCs/>
          <w:lang w:eastAsia="es-ES"/>
        </w:rPr>
        <w:t>Biological Psychiatry</w:t>
      </w:r>
      <w:r w:rsidRPr="00AF3362">
        <w:rPr>
          <w:lang w:eastAsia="es-ES"/>
        </w:rPr>
        <w:t xml:space="preserve">, </w:t>
      </w:r>
      <w:r w:rsidRPr="00AF3362">
        <w:rPr>
          <w:i/>
          <w:iCs/>
          <w:lang w:eastAsia="es-ES"/>
        </w:rPr>
        <w:t>80</w:t>
      </w:r>
      <w:r w:rsidRPr="00AF3362">
        <w:rPr>
          <w:lang w:eastAsia="es-ES"/>
        </w:rPr>
        <w:t>(9), 691–701. https://doi.org/10.1016/j.biopsych.2016.04.012</w:t>
      </w:r>
    </w:p>
    <w:p w:rsidR="003E7904" w:rsidRPr="00AF3362" w:rsidRDefault="00BA0F84" w:rsidP="00F1261A">
      <w:pPr>
        <w:spacing w:after="160" w:line="360" w:lineRule="auto"/>
        <w:ind w:hanging="720"/>
        <w:jc w:val="both"/>
      </w:pPr>
      <w:r w:rsidRPr="00122C96">
        <w:t xml:space="preserve">Borgan, F., Laurikainen, H., Veronese, M., Marques, T. R., Haaparanta-Solin, M., Solin, O., … </w:t>
      </w:r>
      <w:r w:rsidRPr="00AF3362">
        <w:t xml:space="preserve">Howes, O. (2019). In Vivo Availability of Cannabinoid 1 Receptor Levels in Patients with First-Episode Psychosis. </w:t>
      </w:r>
      <w:r w:rsidRPr="00AF3362">
        <w:rPr>
          <w:i/>
        </w:rPr>
        <w:t>JAMA Psychiatry</w:t>
      </w:r>
      <w:r w:rsidR="00D0226B" w:rsidRPr="00AF3362">
        <w:t>,</w:t>
      </w:r>
      <w:r w:rsidRPr="00AF3362">
        <w:t xml:space="preserve"> </w:t>
      </w:r>
      <w:r w:rsidR="00D0226B" w:rsidRPr="00AF3362">
        <w:rPr>
          <w:i/>
          <w:iCs/>
        </w:rPr>
        <w:t>76</w:t>
      </w:r>
      <w:r w:rsidR="00D0226B" w:rsidRPr="00AF3362">
        <w:t xml:space="preserve">(10), 1074. </w:t>
      </w:r>
      <w:r w:rsidRPr="00AF3362">
        <w:t>doi: 10.1001/jamapsychiatry.2019.1427</w:t>
      </w:r>
    </w:p>
    <w:p w:rsidR="003E7904" w:rsidRPr="00AF3362" w:rsidRDefault="00BA0F84" w:rsidP="00F1261A">
      <w:pPr>
        <w:spacing w:after="160" w:line="360" w:lineRule="auto"/>
        <w:ind w:hanging="720"/>
        <w:jc w:val="both"/>
      </w:pPr>
      <w:r w:rsidRPr="00AF3362">
        <w:t xml:space="preserve">Cabral, G. A., Raborn, E. S., Griffin, L., Dennis, J., &amp; Marciano-Cabral, F. (2008). CB 2 receptors in the brain: Role in central immune function. </w:t>
      </w:r>
      <w:r w:rsidRPr="00AF3362">
        <w:rPr>
          <w:i/>
        </w:rPr>
        <w:t>British Journal of Pharmacology</w:t>
      </w:r>
      <w:r w:rsidR="00D0226B" w:rsidRPr="00AF3362">
        <w:rPr>
          <w:i/>
        </w:rPr>
        <w:t>,</w:t>
      </w:r>
      <w:r w:rsidRPr="00AF3362">
        <w:t xml:space="preserve"> </w:t>
      </w:r>
      <w:r w:rsidR="00D0226B" w:rsidRPr="00AF3362">
        <w:rPr>
          <w:i/>
          <w:iCs/>
        </w:rPr>
        <w:t>153</w:t>
      </w:r>
      <w:r w:rsidR="00D0226B" w:rsidRPr="00AF3362">
        <w:t xml:space="preserve">(2), 240–251. </w:t>
      </w:r>
      <w:r w:rsidRPr="00AF3362">
        <w:t>doi: 10.1038/sj.bjp.0707584</w:t>
      </w:r>
    </w:p>
    <w:p w:rsidR="003E7904" w:rsidRPr="00AF3362" w:rsidRDefault="00BA0F84" w:rsidP="00F1261A">
      <w:pPr>
        <w:spacing w:after="160" w:line="360" w:lineRule="auto"/>
        <w:ind w:hanging="720"/>
        <w:jc w:val="both"/>
      </w:pPr>
      <w:r w:rsidRPr="00AF3362">
        <w:t xml:space="preserve">Chavarría-Siles, I., Contreras-Rojas, J., Hare, E., Walss-Bass, C., Quezada, P., Dassori, A., … Escamilla, M. A. (2008). Cannabinoid receptor 1 gene (CNR1) and susceptibility to a quantitative phenotype for hebephrenic schizophrenia. </w:t>
      </w:r>
      <w:r w:rsidRPr="00AF3362">
        <w:rPr>
          <w:i/>
        </w:rPr>
        <w:t>American Journal of Medical Genetics, Part B: Neuropsychiatric Genetics</w:t>
      </w:r>
      <w:r w:rsidR="00D0226B" w:rsidRPr="00AF3362">
        <w:t>,</w:t>
      </w:r>
      <w:r w:rsidRPr="00AF3362">
        <w:t xml:space="preserve"> </w:t>
      </w:r>
      <w:r w:rsidR="00D0226B" w:rsidRPr="00AF3362">
        <w:rPr>
          <w:i/>
          <w:iCs/>
        </w:rPr>
        <w:t>147B</w:t>
      </w:r>
      <w:r w:rsidR="00D0226B" w:rsidRPr="00AF3362">
        <w:t xml:space="preserve">(3), 279–284. </w:t>
      </w:r>
      <w:r w:rsidRPr="00AF3362">
        <w:t>doi: 10.1002/ajmg.b.30592</w:t>
      </w:r>
    </w:p>
    <w:p w:rsidR="003E7904" w:rsidRPr="00AF3362" w:rsidRDefault="00BA0F84" w:rsidP="00F1261A">
      <w:pPr>
        <w:spacing w:after="160" w:line="360" w:lineRule="auto"/>
        <w:ind w:hanging="720"/>
        <w:jc w:val="both"/>
      </w:pPr>
      <w:r w:rsidRPr="00AF3362">
        <w:t xml:space="preserve">Comings, D. E., Muhleman, D., Gade, R., Johnson, P., Verde, R., Saucier, G., &amp; MacMurray, J. (1997). Cannabinoid receptor gene (CNR1): Association with IV drug use. </w:t>
      </w:r>
      <w:r w:rsidRPr="00AF3362">
        <w:rPr>
          <w:i/>
        </w:rPr>
        <w:t>Molecular Psychiatry</w:t>
      </w:r>
      <w:r w:rsidR="00D0226B" w:rsidRPr="00AF3362">
        <w:rPr>
          <w:i/>
        </w:rPr>
        <w:t>,</w:t>
      </w:r>
      <w:r w:rsidRPr="00AF3362">
        <w:t xml:space="preserve"> </w:t>
      </w:r>
      <w:r w:rsidR="00D0226B" w:rsidRPr="00AF3362">
        <w:rPr>
          <w:i/>
          <w:iCs/>
        </w:rPr>
        <w:t>2</w:t>
      </w:r>
      <w:r w:rsidR="00D0226B" w:rsidRPr="00AF3362">
        <w:t xml:space="preserve">(2), 161–168. </w:t>
      </w:r>
      <w:r w:rsidRPr="00AF3362">
        <w:t>doi: 10.1038/sj.mp.4000247</w:t>
      </w:r>
    </w:p>
    <w:p w:rsidR="003E7904" w:rsidRPr="00AF3362" w:rsidRDefault="00BA0F84" w:rsidP="00F1261A">
      <w:pPr>
        <w:spacing w:after="160" w:line="360" w:lineRule="auto"/>
        <w:ind w:hanging="720"/>
        <w:jc w:val="both"/>
      </w:pPr>
      <w:r w:rsidRPr="00AF3362">
        <w:t>Covault, J., Gelernter, J., &amp; Kranzler, H. (2001). Association study of cannabinoid receptor gene (CNR1) alleles and drug dependence. </w:t>
      </w:r>
      <w:r w:rsidRPr="00AF3362">
        <w:rPr>
          <w:i/>
        </w:rPr>
        <w:t xml:space="preserve">Molecular </w:t>
      </w:r>
      <w:r w:rsidR="00A30ABA" w:rsidRPr="00AF3362">
        <w:rPr>
          <w:i/>
        </w:rPr>
        <w:t>P</w:t>
      </w:r>
      <w:r w:rsidRPr="00AF3362">
        <w:rPr>
          <w:i/>
        </w:rPr>
        <w:t>sychiatry</w:t>
      </w:r>
      <w:r w:rsidRPr="00AF3362">
        <w:t>, </w:t>
      </w:r>
      <w:r w:rsidRPr="00AF3362">
        <w:rPr>
          <w:i/>
        </w:rPr>
        <w:t>6</w:t>
      </w:r>
      <w:r w:rsidRPr="00AF3362">
        <w:t xml:space="preserve">(5), 501–502. </w:t>
      </w:r>
      <w:hyperlink r:id="rId5">
        <w:r w:rsidRPr="00AF3362">
          <w:t>doi</w:t>
        </w:r>
      </w:hyperlink>
      <w:r w:rsidRPr="00AF3362">
        <w:t>: 10.1038/sj.mp.4000925</w:t>
      </w:r>
    </w:p>
    <w:p w:rsidR="003E7904" w:rsidRPr="00AF3362" w:rsidRDefault="00BA0F84" w:rsidP="00F1261A">
      <w:pPr>
        <w:spacing w:after="160" w:line="360" w:lineRule="auto"/>
        <w:ind w:hanging="720"/>
        <w:jc w:val="both"/>
      </w:pPr>
      <w:r w:rsidRPr="00AF3362">
        <w:t xml:space="preserve">D’Addario, C., Micale, V., Di Bartolomeo, M., Stark, T., Pucci, M., Sulcova, A., … Dell’Osso, B. (2017). A preliminary study of endocannabinoid system regulation in psychosis: Distinct alterations of CNR1 promoter DNA methylation in patients with schizophrenia. </w:t>
      </w:r>
      <w:r w:rsidRPr="00AF3362">
        <w:rPr>
          <w:i/>
        </w:rPr>
        <w:t>Schizophrenia Research</w:t>
      </w:r>
      <w:r w:rsidR="00D0226B" w:rsidRPr="00AF3362">
        <w:t>,</w:t>
      </w:r>
      <w:r w:rsidRPr="00AF3362">
        <w:t xml:space="preserve"> </w:t>
      </w:r>
      <w:r w:rsidR="00D0226B" w:rsidRPr="00AF3362">
        <w:rPr>
          <w:i/>
          <w:iCs/>
        </w:rPr>
        <w:t>188</w:t>
      </w:r>
      <w:r w:rsidR="00D0226B" w:rsidRPr="00AF3362">
        <w:t xml:space="preserve">, 132–140. </w:t>
      </w:r>
      <w:r w:rsidRPr="00AF3362">
        <w:t>doi: 10.1016/j.schres.2017.01.022</w:t>
      </w:r>
    </w:p>
    <w:p w:rsidR="003E7904" w:rsidRPr="00AF3362" w:rsidRDefault="00BA0F84" w:rsidP="00F1261A">
      <w:pPr>
        <w:spacing w:after="160" w:line="360" w:lineRule="auto"/>
        <w:ind w:hanging="720"/>
        <w:jc w:val="both"/>
        <w:rPr>
          <w:lang w:val="es-ES"/>
        </w:rPr>
      </w:pPr>
      <w:r w:rsidRPr="00AF3362">
        <w:t xml:space="preserve">Dawson, E. (1995). Identification of a highly polymorphic triplet repeat marker for the brain cannabinoid receptor gene: Use in linkage and association studies of schizophrenia. </w:t>
      </w:r>
      <w:r w:rsidRPr="00AF3362">
        <w:rPr>
          <w:i/>
          <w:lang w:val="es-ES"/>
        </w:rPr>
        <w:t>Schizophrenia Research</w:t>
      </w:r>
      <w:r w:rsidR="00D0226B" w:rsidRPr="00AF3362">
        <w:rPr>
          <w:i/>
          <w:lang w:val="es-ES"/>
        </w:rPr>
        <w:t>,</w:t>
      </w:r>
      <w:r w:rsidRPr="00AF3362">
        <w:rPr>
          <w:lang w:val="es-ES"/>
        </w:rPr>
        <w:t xml:space="preserve"> </w:t>
      </w:r>
      <w:r w:rsidR="00D0226B" w:rsidRPr="00AF3362">
        <w:rPr>
          <w:i/>
          <w:iCs/>
          <w:lang w:val="es-ES"/>
        </w:rPr>
        <w:t>15</w:t>
      </w:r>
      <w:r w:rsidR="00D0226B" w:rsidRPr="00AF3362">
        <w:rPr>
          <w:lang w:val="es-ES"/>
        </w:rPr>
        <w:t xml:space="preserve">(1–2), 37. </w:t>
      </w:r>
      <w:r w:rsidRPr="00AF3362">
        <w:rPr>
          <w:lang w:val="es-ES"/>
        </w:rPr>
        <w:t>doi: 10.1016/0920-9964(95)95120-x</w:t>
      </w:r>
    </w:p>
    <w:p w:rsidR="00F05F52" w:rsidRPr="00AF3362" w:rsidRDefault="00F05F52" w:rsidP="00F1261A">
      <w:pPr>
        <w:spacing w:after="160" w:line="360" w:lineRule="auto"/>
        <w:ind w:hanging="720"/>
        <w:jc w:val="both"/>
      </w:pPr>
      <w:r w:rsidRPr="00AF3362">
        <w:rPr>
          <w:lang w:val="es-ES"/>
        </w:rPr>
        <w:t xml:space="preserve">De Almeida, V., &amp; Martins-de-Souza, D. (2018). </w:t>
      </w:r>
      <w:r w:rsidRPr="00AF3362">
        <w:t xml:space="preserve">Cannabinoids and glial cells: possible mechanism to understand schizophrenia. </w:t>
      </w:r>
      <w:r w:rsidRPr="00AF3362">
        <w:rPr>
          <w:i/>
          <w:iCs/>
        </w:rPr>
        <w:t xml:space="preserve">European </w:t>
      </w:r>
      <w:r w:rsidR="00A30ABA" w:rsidRPr="00AF3362">
        <w:rPr>
          <w:i/>
          <w:iCs/>
        </w:rPr>
        <w:t>A</w:t>
      </w:r>
      <w:r w:rsidRPr="00AF3362">
        <w:rPr>
          <w:i/>
          <w:iCs/>
        </w:rPr>
        <w:t xml:space="preserve">rchives of </w:t>
      </w:r>
      <w:r w:rsidR="00A30ABA" w:rsidRPr="00AF3362">
        <w:rPr>
          <w:i/>
          <w:iCs/>
        </w:rPr>
        <w:t>P</w:t>
      </w:r>
      <w:r w:rsidRPr="00AF3362">
        <w:rPr>
          <w:i/>
          <w:iCs/>
        </w:rPr>
        <w:t xml:space="preserve">sychiatry and </w:t>
      </w:r>
      <w:r w:rsidR="00A30ABA" w:rsidRPr="00AF3362">
        <w:rPr>
          <w:i/>
          <w:iCs/>
        </w:rPr>
        <w:t>C</w:t>
      </w:r>
      <w:r w:rsidRPr="00AF3362">
        <w:rPr>
          <w:i/>
          <w:iCs/>
        </w:rPr>
        <w:t xml:space="preserve">linical </w:t>
      </w:r>
      <w:r w:rsidR="00A30ABA" w:rsidRPr="00AF3362">
        <w:rPr>
          <w:i/>
          <w:iCs/>
        </w:rPr>
        <w:t>N</w:t>
      </w:r>
      <w:r w:rsidRPr="00AF3362">
        <w:rPr>
          <w:i/>
          <w:iCs/>
        </w:rPr>
        <w:t>euroscience</w:t>
      </w:r>
      <w:r w:rsidRPr="00AF3362">
        <w:t xml:space="preserve">, </w:t>
      </w:r>
      <w:r w:rsidRPr="00AF3362">
        <w:rPr>
          <w:i/>
          <w:iCs/>
        </w:rPr>
        <w:t>268</w:t>
      </w:r>
      <w:r w:rsidRPr="00AF3362">
        <w:t>(7), 727–737. https://doi.org/10.1007/s00406-018-0874-6</w:t>
      </w:r>
    </w:p>
    <w:p w:rsidR="003E7904" w:rsidRPr="00AF3362" w:rsidRDefault="00BA0F84" w:rsidP="00F1261A">
      <w:pPr>
        <w:spacing w:after="160" w:line="360" w:lineRule="auto"/>
        <w:ind w:hanging="720"/>
        <w:jc w:val="both"/>
      </w:pPr>
      <w:r w:rsidRPr="00AF3362">
        <w:rPr>
          <w:lang w:val="es-ES"/>
        </w:rPr>
        <w:t xml:space="preserve">De Marchi, N., De Petrocellis, L., Orlando, P., Daniele, F., Fezza, F., &amp; Di Marzo, V. (2003). </w:t>
      </w:r>
      <w:r w:rsidRPr="00AF3362">
        <w:t xml:space="preserve">Endocannabinoid signalling in the blood of patients with schizophrenia. </w:t>
      </w:r>
      <w:r w:rsidRPr="00AF3362">
        <w:rPr>
          <w:i/>
        </w:rPr>
        <w:t>Lipids in Health and Disease</w:t>
      </w:r>
      <w:r w:rsidR="00D0226B" w:rsidRPr="00AF3362">
        <w:t>,</w:t>
      </w:r>
      <w:r w:rsidRPr="00AF3362">
        <w:t xml:space="preserve"> </w:t>
      </w:r>
      <w:r w:rsidR="00D0226B" w:rsidRPr="00AF3362">
        <w:rPr>
          <w:i/>
          <w:iCs/>
        </w:rPr>
        <w:t>2</w:t>
      </w:r>
      <w:r w:rsidR="00D0226B" w:rsidRPr="00AF3362">
        <w:rPr>
          <w:i/>
        </w:rPr>
        <w:t>, 5</w:t>
      </w:r>
      <w:r w:rsidR="00D0226B" w:rsidRPr="00AF3362">
        <w:t xml:space="preserve">. </w:t>
      </w:r>
      <w:r w:rsidRPr="00AF3362">
        <w:t>doi: 10.1186/1476-511X-2-1</w:t>
      </w:r>
    </w:p>
    <w:p w:rsidR="003E7904" w:rsidRPr="00AF3362" w:rsidRDefault="00BA0F84" w:rsidP="00F1261A">
      <w:pPr>
        <w:spacing w:after="160" w:line="360" w:lineRule="auto"/>
        <w:ind w:hanging="720"/>
        <w:jc w:val="both"/>
      </w:pPr>
      <w:r w:rsidRPr="00AF3362">
        <w:rPr>
          <w:lang w:val="es-ES"/>
        </w:rPr>
        <w:t xml:space="preserve">Deutsch, D. G., Ueda, N., &amp; Yamamoto, S. (2002). </w:t>
      </w:r>
      <w:r w:rsidRPr="00AF3362">
        <w:t xml:space="preserve">The fatty acid amide hydrolase (FAAH). </w:t>
      </w:r>
      <w:r w:rsidRPr="00AF3362">
        <w:rPr>
          <w:i/>
        </w:rPr>
        <w:t>Prostaglandins Leukotrienes and Essential Fatty Acids</w:t>
      </w:r>
      <w:r w:rsidR="00D0226B" w:rsidRPr="00AF3362">
        <w:t>,</w:t>
      </w:r>
      <w:r w:rsidRPr="00AF3362">
        <w:t xml:space="preserve"> </w:t>
      </w:r>
      <w:r w:rsidR="00D0226B" w:rsidRPr="00AF3362">
        <w:rPr>
          <w:i/>
          <w:iCs/>
        </w:rPr>
        <w:t>66</w:t>
      </w:r>
      <w:r w:rsidR="00D0226B" w:rsidRPr="00AF3362">
        <w:t xml:space="preserve">(2–3), 201–210. </w:t>
      </w:r>
      <w:r w:rsidRPr="00AF3362">
        <w:t>doi: 10.1054/plef.2001.0358</w:t>
      </w:r>
    </w:p>
    <w:p w:rsidR="003E7904" w:rsidRPr="00AF3362" w:rsidRDefault="00BA0F84" w:rsidP="00F1261A">
      <w:pPr>
        <w:spacing w:after="160" w:line="360" w:lineRule="auto"/>
        <w:ind w:hanging="720"/>
        <w:jc w:val="both"/>
      </w:pPr>
      <w:r w:rsidRPr="00AF3362">
        <w:t xml:space="preserve">Dong, M., Lu, L., Zhang, L., Zhang, Y. S., Ng, C. H., Ungvari, G. S., … Xiang, Y. T. (2019). Quality of Life in Schizophrenia: A Meta-Analysis of Comparative Studies. </w:t>
      </w:r>
      <w:r w:rsidRPr="00AF3362">
        <w:rPr>
          <w:i/>
        </w:rPr>
        <w:t>Psychiatric Quarterly</w:t>
      </w:r>
      <w:r w:rsidR="00D0226B" w:rsidRPr="00AF3362">
        <w:rPr>
          <w:i/>
        </w:rPr>
        <w:t>,</w:t>
      </w:r>
      <w:r w:rsidRPr="00AF3362">
        <w:t xml:space="preserve"> </w:t>
      </w:r>
      <w:r w:rsidR="00D0226B" w:rsidRPr="00AF3362">
        <w:rPr>
          <w:i/>
          <w:iCs/>
        </w:rPr>
        <w:t>90</w:t>
      </w:r>
      <w:r w:rsidR="00D0226B" w:rsidRPr="00AF3362">
        <w:t xml:space="preserve">(3), 519–532. </w:t>
      </w:r>
      <w:r w:rsidRPr="00AF3362">
        <w:t>doi: 10.1007/s11126-019-09633-4​</w:t>
      </w:r>
    </w:p>
    <w:p w:rsidR="003E7904" w:rsidRPr="00AF3362" w:rsidRDefault="00BA0F84" w:rsidP="00F1261A">
      <w:pPr>
        <w:spacing w:after="160" w:line="360" w:lineRule="auto"/>
        <w:ind w:hanging="720"/>
        <w:jc w:val="both"/>
      </w:pPr>
      <w:r w:rsidRPr="00AF3362">
        <w:t xml:space="preserve">Fakhoury, M. (2017). Role of the Endocannabinoid System in the Pathophysiology of Schizophrenia. </w:t>
      </w:r>
      <w:r w:rsidRPr="00AF3362">
        <w:rPr>
          <w:i/>
        </w:rPr>
        <w:t>Molecular Neurobiology</w:t>
      </w:r>
      <w:r w:rsidR="00D0226B" w:rsidRPr="00AF3362">
        <w:rPr>
          <w:i/>
        </w:rPr>
        <w:t>,</w:t>
      </w:r>
      <w:r w:rsidR="00A44386" w:rsidRPr="00AF3362">
        <w:rPr>
          <w:i/>
          <w:iCs/>
        </w:rPr>
        <w:t xml:space="preserve"> 54</w:t>
      </w:r>
      <w:r w:rsidR="00A44386" w:rsidRPr="00AF3362">
        <w:t>(1), 768–778.</w:t>
      </w:r>
      <w:r w:rsidRPr="00AF3362">
        <w:t xml:space="preserve"> doi: 10.1007/s12035-016-9697-5</w:t>
      </w:r>
    </w:p>
    <w:p w:rsidR="003E7904" w:rsidRPr="00AF3362" w:rsidRDefault="00BA0F84" w:rsidP="00F1261A">
      <w:pPr>
        <w:spacing w:after="160" w:line="360" w:lineRule="auto"/>
        <w:ind w:hanging="720"/>
        <w:jc w:val="both"/>
      </w:pPr>
      <w:r w:rsidRPr="00AF3362">
        <w:t xml:space="preserve">Falenski, K. W., Thorpe, A. J., Schlosburg, J. E., Cravatt, B. F., Abdullah, R. A., Smith, T. H., … Sim-Selley, L. J. (2010). FAAH/Mice display differential tolerance, dependence, and cannabinoid receptor adaptation after δ 9-tetrahydrocannabinol and anandamide administration. </w:t>
      </w:r>
      <w:r w:rsidRPr="00AF3362">
        <w:rPr>
          <w:i/>
        </w:rPr>
        <w:t>Neuropsychopharmacology</w:t>
      </w:r>
      <w:r w:rsidR="006D7B34" w:rsidRPr="00AF3362">
        <w:t>,</w:t>
      </w:r>
      <w:r w:rsidRPr="00AF3362">
        <w:t xml:space="preserve"> </w:t>
      </w:r>
      <w:r w:rsidR="006D7B34" w:rsidRPr="00AF3362">
        <w:rPr>
          <w:i/>
          <w:iCs/>
        </w:rPr>
        <w:t>35</w:t>
      </w:r>
      <w:r w:rsidR="006D7B34" w:rsidRPr="00AF3362">
        <w:t xml:space="preserve">(8), 1775–1787. </w:t>
      </w:r>
      <w:r w:rsidRPr="00AF3362">
        <w:t>doi: 10.1038/npp.2010.44</w:t>
      </w:r>
    </w:p>
    <w:p w:rsidR="003E7904" w:rsidRPr="00AF3362" w:rsidRDefault="00BA0F84" w:rsidP="00F1261A">
      <w:pPr>
        <w:spacing w:after="160" w:line="360" w:lineRule="auto"/>
        <w:ind w:hanging="720"/>
        <w:jc w:val="both"/>
      </w:pPr>
      <w:r w:rsidRPr="00AF3362">
        <w:t xml:space="preserve">Fezza, F., De Simone, C., Amadio, D., &amp; Maccarrone, M. (2008). Fatty acid amide hydrolase: A gate-keeper of the endocannabinoid system. </w:t>
      </w:r>
      <w:r w:rsidRPr="00AF3362">
        <w:rPr>
          <w:i/>
        </w:rPr>
        <w:t>Sub-Cellular Biochemistry</w:t>
      </w:r>
      <w:r w:rsidR="006D7B34" w:rsidRPr="00AF3362">
        <w:rPr>
          <w:i/>
        </w:rPr>
        <w:t>,</w:t>
      </w:r>
      <w:r w:rsidRPr="00AF3362">
        <w:t xml:space="preserve"> </w:t>
      </w:r>
      <w:r w:rsidR="006D7B34" w:rsidRPr="00AF3362">
        <w:t xml:space="preserve">(pp. 101–132). </w:t>
      </w:r>
      <w:r w:rsidRPr="00AF3362">
        <w:t>doi: 10.1007/978-1-4020-8831-5_4</w:t>
      </w:r>
    </w:p>
    <w:p w:rsidR="003E7904" w:rsidRPr="00AF3362" w:rsidRDefault="00BA0F84" w:rsidP="00F1261A">
      <w:pPr>
        <w:spacing w:after="160" w:line="360" w:lineRule="auto"/>
        <w:ind w:hanging="720"/>
        <w:jc w:val="both"/>
      </w:pPr>
      <w:r w:rsidRPr="00AF3362">
        <w:t xml:space="preserve">Filbey, F. M., Schacht, J. P., Myers, U. S., Chavez, R. S., &amp; Hutchison, K. E. (2010). Individual and additive effects of the CNR1 and FAAH genes on brain response to marijuana cues. </w:t>
      </w:r>
      <w:r w:rsidRPr="00AF3362">
        <w:rPr>
          <w:i/>
        </w:rPr>
        <w:t>Neuropsychopharmacology</w:t>
      </w:r>
      <w:r w:rsidR="006D7B34" w:rsidRPr="00AF3362">
        <w:t>,</w:t>
      </w:r>
      <w:r w:rsidRPr="00AF3362">
        <w:t xml:space="preserve"> </w:t>
      </w:r>
      <w:r w:rsidR="006D7B34" w:rsidRPr="00AF3362">
        <w:rPr>
          <w:i/>
          <w:iCs/>
        </w:rPr>
        <w:t>35</w:t>
      </w:r>
      <w:r w:rsidR="006D7B34" w:rsidRPr="00AF3362">
        <w:t xml:space="preserve">(4), 967–975. </w:t>
      </w:r>
      <w:r w:rsidRPr="00AF3362">
        <w:t>doi: 10.1038/npp.2009.200</w:t>
      </w:r>
    </w:p>
    <w:p w:rsidR="003E7904" w:rsidRPr="00AF3362" w:rsidRDefault="00BA0F84" w:rsidP="00F1261A">
      <w:pPr>
        <w:spacing w:after="160" w:line="360" w:lineRule="auto"/>
        <w:ind w:hanging="720"/>
        <w:jc w:val="both"/>
        <w:rPr>
          <w:lang w:val="es-ES"/>
        </w:rPr>
      </w:pPr>
      <w:r w:rsidRPr="00AF3362">
        <w:t xml:space="preserve">Flanagan, J. M., Gerber, A. L., Cadet, J. L., Beutler, E., &amp; Sipe, J. C. (2006). The fatty acid amide hydrolase 385 A/A (P129T) variant: Haplotype analysis of an ancient missense mutation and validation of risk for drug addiction. </w:t>
      </w:r>
      <w:r w:rsidRPr="00AF3362">
        <w:rPr>
          <w:i/>
          <w:lang w:val="es-ES"/>
        </w:rPr>
        <w:t>Human Genetics</w:t>
      </w:r>
      <w:r w:rsidR="006D7B34" w:rsidRPr="00AF3362">
        <w:rPr>
          <w:lang w:val="es-ES"/>
        </w:rPr>
        <w:t>,</w:t>
      </w:r>
      <w:r w:rsidRPr="00AF3362">
        <w:rPr>
          <w:lang w:val="es-ES"/>
        </w:rPr>
        <w:t xml:space="preserve"> </w:t>
      </w:r>
      <w:r w:rsidR="006D7B34" w:rsidRPr="00AF3362">
        <w:rPr>
          <w:i/>
          <w:iCs/>
          <w:lang w:val="es-ES"/>
        </w:rPr>
        <w:t>120</w:t>
      </w:r>
      <w:r w:rsidR="006D7B34" w:rsidRPr="00AF3362">
        <w:rPr>
          <w:lang w:val="es-ES"/>
        </w:rPr>
        <w:t xml:space="preserve">(4), 581–588. </w:t>
      </w:r>
      <w:r w:rsidRPr="00AF3362">
        <w:rPr>
          <w:lang w:val="es-ES"/>
        </w:rPr>
        <w:t>doi: 10.1007/s00439-006-0250-x</w:t>
      </w:r>
    </w:p>
    <w:p w:rsidR="003E7904" w:rsidRPr="00AF3362" w:rsidRDefault="00BA0F84" w:rsidP="00F1261A">
      <w:pPr>
        <w:spacing w:after="160" w:line="360" w:lineRule="auto"/>
        <w:ind w:hanging="720"/>
        <w:jc w:val="both"/>
      </w:pPr>
      <w:r w:rsidRPr="00AF3362">
        <w:rPr>
          <w:lang w:val="es-ES"/>
        </w:rPr>
        <w:t>Fonseca-Pedrero, E., Lucas-Molina, B., Pérez-Albéniz, A., Inchausti, F., &amp; Ortuño-Sierra, J. (2019). Experiencias psicóticas atenuadas y consumo de cannabis en adolescentes de la población general. </w:t>
      </w:r>
      <w:r w:rsidRPr="00AF3362">
        <w:rPr>
          <w:i/>
        </w:rPr>
        <w:t>Adicciones</w:t>
      </w:r>
      <w:r w:rsidRPr="00AF3362">
        <w:t>, </w:t>
      </w:r>
      <w:r w:rsidRPr="00AF3362">
        <w:rPr>
          <w:i/>
        </w:rPr>
        <w:t>32</w:t>
      </w:r>
      <w:r w:rsidRPr="00AF3362">
        <w:t>(1), 41. doi: 10.20882/adicciones.1149</w:t>
      </w:r>
    </w:p>
    <w:p w:rsidR="003E7904" w:rsidRPr="00AF3362" w:rsidRDefault="00BA0F84" w:rsidP="00F1261A">
      <w:pPr>
        <w:spacing w:after="160" w:line="360" w:lineRule="auto"/>
        <w:ind w:hanging="720"/>
        <w:jc w:val="both"/>
      </w:pPr>
      <w:r w:rsidRPr="00AF3362">
        <w:t xml:space="preserve">French, L., Gray, C., Leonard, G., Perron, M., Pike, G. B., Richer, L., … Paus, T. (2015). Early cannabis use, polygenic risk score for schizophrenia, and brain maturation in adolescence. </w:t>
      </w:r>
      <w:r w:rsidRPr="00AF3362">
        <w:rPr>
          <w:i/>
        </w:rPr>
        <w:t>JAMA Psychiatry</w:t>
      </w:r>
      <w:r w:rsidR="006D7B34" w:rsidRPr="00AF3362">
        <w:rPr>
          <w:i/>
        </w:rPr>
        <w:t>,</w:t>
      </w:r>
      <w:r w:rsidRPr="00AF3362">
        <w:t xml:space="preserve"> </w:t>
      </w:r>
      <w:r w:rsidR="006D7B34" w:rsidRPr="00AF3362">
        <w:rPr>
          <w:i/>
          <w:iCs/>
        </w:rPr>
        <w:t>72</w:t>
      </w:r>
      <w:r w:rsidR="006D7B34" w:rsidRPr="00AF3362">
        <w:t xml:space="preserve">(10), 1002. </w:t>
      </w:r>
      <w:r w:rsidRPr="00AF3362">
        <w:t>doi: 10.1001/jamapsychiatry.2015.1131</w:t>
      </w:r>
    </w:p>
    <w:p w:rsidR="003E7904" w:rsidRPr="00AF3362" w:rsidRDefault="00BA0F84" w:rsidP="00F1261A">
      <w:pPr>
        <w:spacing w:after="160" w:line="360" w:lineRule="auto"/>
        <w:ind w:hanging="720"/>
        <w:jc w:val="both"/>
      </w:pPr>
      <w:r w:rsidRPr="00AF3362">
        <w:t xml:space="preserve"> Galiègue, S., Mary, S., Marchand, J., Dussossoy, D., Carrière, D., Carayon, P., … Casellas, P. (1995). Expression of Central and Peripheral Cannabinoid Receptors in Human Immune Tissues and Leukocyte Subpopulations. </w:t>
      </w:r>
      <w:r w:rsidRPr="00AF3362">
        <w:rPr>
          <w:i/>
        </w:rPr>
        <w:t>European Journal of Biochemistry</w:t>
      </w:r>
      <w:r w:rsidR="006D7B34" w:rsidRPr="00AF3362">
        <w:rPr>
          <w:i/>
        </w:rPr>
        <w:t>,</w:t>
      </w:r>
      <w:r w:rsidRPr="00AF3362">
        <w:t xml:space="preserve"> </w:t>
      </w:r>
      <w:r w:rsidR="006D7B34" w:rsidRPr="00AF3362">
        <w:rPr>
          <w:i/>
          <w:iCs/>
        </w:rPr>
        <w:t>232</w:t>
      </w:r>
      <w:r w:rsidR="006D7B34" w:rsidRPr="00AF3362">
        <w:t xml:space="preserve">(1), 54–61. </w:t>
      </w:r>
      <w:r w:rsidRPr="00AF3362">
        <w:t>doi: 10.1111/j.1432-1033.1995.tb20780.x</w:t>
      </w:r>
    </w:p>
    <w:p w:rsidR="003E7904" w:rsidRPr="00AF3362" w:rsidRDefault="00BA0F84" w:rsidP="00F1261A">
      <w:pPr>
        <w:spacing w:after="160" w:line="360" w:lineRule="auto"/>
        <w:ind w:hanging="720"/>
        <w:jc w:val="both"/>
        <w:rPr>
          <w:lang w:val="es-ES"/>
        </w:rPr>
      </w:pPr>
      <w:r w:rsidRPr="00AF3362">
        <w:t xml:space="preserve">Galve-Roperh, I., Aguado, T., Palazuelos, J., &amp; Guzman, M. (2008). Mechanisms of Control of Neuron Survival by the Endocannabinoid System. </w:t>
      </w:r>
      <w:r w:rsidRPr="00AF3362">
        <w:rPr>
          <w:i/>
          <w:lang w:val="es-ES"/>
        </w:rPr>
        <w:t>Current Pharmaceutical Design</w:t>
      </w:r>
      <w:r w:rsidR="006D7B34" w:rsidRPr="00AF3362">
        <w:rPr>
          <w:lang w:val="es-ES"/>
        </w:rPr>
        <w:t xml:space="preserve">, </w:t>
      </w:r>
      <w:r w:rsidR="006D7B34" w:rsidRPr="00AF3362">
        <w:rPr>
          <w:i/>
          <w:iCs/>
          <w:lang w:val="es-ES"/>
        </w:rPr>
        <w:t>14</w:t>
      </w:r>
      <w:r w:rsidR="006D7B34" w:rsidRPr="00AF3362">
        <w:rPr>
          <w:lang w:val="es-ES"/>
        </w:rPr>
        <w:t xml:space="preserve">(23), 2279–2288. </w:t>
      </w:r>
      <w:r w:rsidRPr="00AF3362">
        <w:rPr>
          <w:lang w:val="es-ES"/>
        </w:rPr>
        <w:t>doi: 10.2174/138161208785740117</w:t>
      </w:r>
    </w:p>
    <w:p w:rsidR="003E7904" w:rsidRPr="00AF3362" w:rsidRDefault="00BA0F84" w:rsidP="00F1261A">
      <w:pPr>
        <w:spacing w:after="160" w:line="360" w:lineRule="auto"/>
        <w:ind w:hanging="720"/>
        <w:jc w:val="both"/>
        <w:rPr>
          <w:lang w:val="es-ES"/>
        </w:rPr>
      </w:pPr>
      <w:r w:rsidRPr="00AF3362">
        <w:rPr>
          <w:lang w:val="es-ES"/>
        </w:rPr>
        <w:t>García-Álvarez, L., Gomar, J., García-Portilla, M., &amp; Bobes, J. (2019). Consumo de cannabis y alteraciones cognitivas en esquizofrenia y primeros episodios psicóticos. </w:t>
      </w:r>
      <w:r w:rsidRPr="00AF3362">
        <w:rPr>
          <w:i/>
          <w:lang w:val="es-ES"/>
        </w:rPr>
        <w:t>Adicciones</w:t>
      </w:r>
      <w:r w:rsidRPr="00AF3362">
        <w:rPr>
          <w:lang w:val="es-ES"/>
        </w:rPr>
        <w:t>, </w:t>
      </w:r>
      <w:r w:rsidRPr="00AF3362">
        <w:rPr>
          <w:i/>
          <w:lang w:val="es-ES"/>
        </w:rPr>
        <w:t>31</w:t>
      </w:r>
      <w:r w:rsidRPr="00AF3362">
        <w:rPr>
          <w:lang w:val="es-ES"/>
        </w:rPr>
        <w:t>(2), 89. doi: 10.20882/adicciones.1328</w:t>
      </w:r>
    </w:p>
    <w:p w:rsidR="003E7904" w:rsidRPr="00AF3362" w:rsidRDefault="00BA0F84" w:rsidP="00F1261A">
      <w:pPr>
        <w:spacing w:after="160" w:line="360" w:lineRule="auto"/>
        <w:ind w:hanging="720"/>
        <w:jc w:val="both"/>
      </w:pPr>
      <w:r w:rsidRPr="00AF3362">
        <w:rPr>
          <w:lang w:val="es-ES"/>
        </w:rPr>
        <w:t xml:space="preserve">García-Gutiérrez, M. S., Ortega-Álvaro, A., Busquets-García, A., Pérez-Ortiz, J. M., Caltana, L., Ricatti, M. J., … </w:t>
      </w:r>
      <w:r w:rsidRPr="00AF3362">
        <w:t xml:space="preserve">Manzanares, J. (2013). Synaptic plasticity alterations associated with memory impairment induced by deletion of CB2 cannabinoid receptors. </w:t>
      </w:r>
      <w:r w:rsidRPr="00AF3362">
        <w:rPr>
          <w:i/>
        </w:rPr>
        <w:t>Neuropharmacology</w:t>
      </w:r>
      <w:r w:rsidR="006D7B34" w:rsidRPr="00AF3362">
        <w:rPr>
          <w:i/>
        </w:rPr>
        <w:t>,</w:t>
      </w:r>
      <w:r w:rsidRPr="00AF3362">
        <w:t xml:space="preserve"> </w:t>
      </w:r>
      <w:r w:rsidR="006D7B34" w:rsidRPr="00AF3362">
        <w:rPr>
          <w:i/>
          <w:iCs/>
        </w:rPr>
        <w:t>73</w:t>
      </w:r>
      <w:r w:rsidR="006D7B34" w:rsidRPr="00AF3362">
        <w:t xml:space="preserve">, 388–396. </w:t>
      </w:r>
      <w:r w:rsidRPr="00AF3362">
        <w:t>doi: 10.1016/j.neuropharm.2013.05.034</w:t>
      </w:r>
    </w:p>
    <w:p w:rsidR="003E7904" w:rsidRPr="00AF3362" w:rsidRDefault="00BA0F84" w:rsidP="00F1261A">
      <w:pPr>
        <w:spacing w:after="160" w:line="360" w:lineRule="auto"/>
        <w:ind w:hanging="720"/>
        <w:jc w:val="both"/>
      </w:pPr>
      <w:r w:rsidRPr="00AF3362">
        <w:t xml:space="preserve">Gerra, M. C., Jayanthi, S., Manfredini, M., Walther, D., Schroeder, J., Phillips, K. A., … Donnini, C. (2018). Gene variants and educational attainment in cannabis use: Mediating role of DNA methylation. </w:t>
      </w:r>
      <w:r w:rsidRPr="00AF3362">
        <w:rPr>
          <w:i/>
        </w:rPr>
        <w:t>Translational Psychiatry</w:t>
      </w:r>
      <w:r w:rsidR="006D7B34" w:rsidRPr="00AF3362">
        <w:t>,</w:t>
      </w:r>
      <w:r w:rsidRPr="00AF3362">
        <w:t xml:space="preserve"> </w:t>
      </w:r>
      <w:r w:rsidR="006D7B34" w:rsidRPr="00AF3362">
        <w:rPr>
          <w:i/>
          <w:iCs/>
        </w:rPr>
        <w:t>8</w:t>
      </w:r>
      <w:r w:rsidR="006D7B34" w:rsidRPr="00AF3362">
        <w:t xml:space="preserve">(1), 23. </w:t>
      </w:r>
      <w:r w:rsidRPr="00AF3362">
        <w:t>doi: 10.1038/s41398-017-0087-1</w:t>
      </w:r>
    </w:p>
    <w:p w:rsidR="003E7904" w:rsidRPr="00AF3362" w:rsidRDefault="00BA0F84" w:rsidP="00F1261A">
      <w:pPr>
        <w:spacing w:after="160" w:line="360" w:lineRule="auto"/>
        <w:ind w:hanging="720"/>
        <w:jc w:val="both"/>
      </w:pPr>
      <w:r w:rsidRPr="00AF3362">
        <w:t xml:space="preserve">Gong, J. P., Onaivi, E. S., Ishiguro, H., Liu, Q. R., Tagliaferro, P. A., Brusco, A., &amp; Uhl, G. R. (2006). Cannabinoid CB2 receptors: Immunohistochemical localization in rat brain. </w:t>
      </w:r>
      <w:r w:rsidRPr="00AF3362">
        <w:rPr>
          <w:i/>
        </w:rPr>
        <w:t>Brain Research</w:t>
      </w:r>
      <w:r w:rsidR="006D7B34" w:rsidRPr="00AF3362">
        <w:rPr>
          <w:i/>
        </w:rPr>
        <w:t>,</w:t>
      </w:r>
      <w:r w:rsidRPr="00AF3362">
        <w:t xml:space="preserve"> </w:t>
      </w:r>
      <w:r w:rsidR="006D7B34" w:rsidRPr="00AF3362">
        <w:rPr>
          <w:i/>
          <w:iCs/>
        </w:rPr>
        <w:t>1071</w:t>
      </w:r>
      <w:r w:rsidR="006D7B34" w:rsidRPr="00AF3362">
        <w:t xml:space="preserve">(1), 10–23. </w:t>
      </w:r>
      <w:r w:rsidRPr="00AF3362">
        <w:t>doi: 10.1016/j.brainres.2005.11.035</w:t>
      </w:r>
    </w:p>
    <w:p w:rsidR="003E7904" w:rsidRPr="00AF3362" w:rsidRDefault="00A30ABA" w:rsidP="00F1261A">
      <w:pPr>
        <w:spacing w:after="160" w:line="360" w:lineRule="auto"/>
        <w:ind w:hanging="720"/>
        <w:jc w:val="both"/>
        <w:rPr>
          <w:lang w:val="es-ES"/>
        </w:rPr>
      </w:pPr>
      <w:r w:rsidRPr="00AF3362">
        <w:rPr>
          <w:lang w:val="es-ES"/>
        </w:rPr>
        <w:t>Gouvêa, E. S., Santos</w:t>
      </w:r>
      <w:r w:rsidR="00BA0F84" w:rsidRPr="00AF3362">
        <w:rPr>
          <w:lang w:val="es-ES"/>
        </w:rPr>
        <w:t xml:space="preserve">, A. F., Ota, V. K., Mrad, V., Gadelha, A., Bressan, R. A., … </w:t>
      </w:r>
      <w:r w:rsidR="00BA0F84" w:rsidRPr="00AF3362">
        <w:t xml:space="preserve">Belangero, S. I. (2017). The role of the CNR1 gene in schizophrenia: A systematic review including unpublished data. </w:t>
      </w:r>
      <w:r w:rsidR="00BA0F84" w:rsidRPr="00AF3362">
        <w:rPr>
          <w:i/>
          <w:lang w:val="es-ES"/>
        </w:rPr>
        <w:t>Revista Brasileira de Psiquiatria</w:t>
      </w:r>
      <w:r w:rsidR="006D7B34" w:rsidRPr="00AF3362">
        <w:rPr>
          <w:i/>
          <w:lang w:val="es-ES"/>
        </w:rPr>
        <w:t>,</w:t>
      </w:r>
      <w:r w:rsidR="00BA0F84" w:rsidRPr="00AF3362">
        <w:rPr>
          <w:lang w:val="es-ES"/>
        </w:rPr>
        <w:t xml:space="preserve"> </w:t>
      </w:r>
      <w:r w:rsidR="006D7B34" w:rsidRPr="00AF3362">
        <w:rPr>
          <w:i/>
          <w:iCs/>
          <w:lang w:val="es-ES"/>
        </w:rPr>
        <w:t>39</w:t>
      </w:r>
      <w:r w:rsidR="006D7B34" w:rsidRPr="00AF3362">
        <w:rPr>
          <w:lang w:val="es-ES"/>
        </w:rPr>
        <w:t xml:space="preserve">(2), 160–171. </w:t>
      </w:r>
      <w:r w:rsidR="00BA0F84" w:rsidRPr="00AF3362">
        <w:rPr>
          <w:lang w:val="es-ES"/>
        </w:rPr>
        <w:t>doi: 10.1590/1516-4446-2016-1969</w:t>
      </w:r>
    </w:p>
    <w:p w:rsidR="003E7904" w:rsidRPr="00AF3362" w:rsidRDefault="00BA0F84" w:rsidP="00F1261A">
      <w:pPr>
        <w:spacing w:after="160" w:line="360" w:lineRule="auto"/>
        <w:ind w:hanging="720"/>
        <w:jc w:val="both"/>
      </w:pPr>
      <w:r w:rsidRPr="00AF3362">
        <w:rPr>
          <w:lang w:val="es-ES"/>
        </w:rPr>
        <w:t xml:space="preserve">Hamdani, N., Tabeze, J. P., Ramoz, N., Ades, J., Hamon, M., Sarfati, Y., … </w:t>
      </w:r>
      <w:r w:rsidRPr="00AF3362">
        <w:t xml:space="preserve">Gorwood, P. (2008). The CNR1 gene as a pharmacogenetic factor for antipsychotics rather than a susceptibility gene for schizophrenia. </w:t>
      </w:r>
      <w:r w:rsidRPr="00AF3362">
        <w:rPr>
          <w:i/>
        </w:rPr>
        <w:t>European Neuropsychopharmacology</w:t>
      </w:r>
      <w:r w:rsidR="006D7B34" w:rsidRPr="00AF3362">
        <w:rPr>
          <w:i/>
        </w:rPr>
        <w:t>,</w:t>
      </w:r>
      <w:r w:rsidRPr="00AF3362">
        <w:t xml:space="preserve"> </w:t>
      </w:r>
      <w:r w:rsidR="006D7B34" w:rsidRPr="00AF3362">
        <w:rPr>
          <w:i/>
          <w:iCs/>
        </w:rPr>
        <w:t>18</w:t>
      </w:r>
      <w:r w:rsidR="006D7B34" w:rsidRPr="00AF3362">
        <w:t xml:space="preserve">(1), 34–40. </w:t>
      </w:r>
      <w:r w:rsidRPr="00AF3362">
        <w:t>doi: 10.1016/j.euroneuro.2007.05.005</w:t>
      </w:r>
    </w:p>
    <w:p w:rsidR="003E7904" w:rsidRPr="00AF3362" w:rsidRDefault="00BA0F84" w:rsidP="00F1261A">
      <w:pPr>
        <w:spacing w:after="160" w:line="360" w:lineRule="auto"/>
        <w:ind w:hanging="720"/>
        <w:jc w:val="both"/>
      </w:pPr>
      <w:r w:rsidRPr="00AF3362">
        <w:t xml:space="preserve">Hariri, A. R., Gorka, A., Hyde, L. W., Kimak, M., Halder, I., Ducci, F., … Manuck, S. B. (2009). Divergent Effects of Genetic Variation in Endocannabinoid Signaling on Human Threat- and Reward-Related Brain Function. </w:t>
      </w:r>
      <w:r w:rsidRPr="00AF3362">
        <w:rPr>
          <w:i/>
        </w:rPr>
        <w:t>Biological Psychiatry</w:t>
      </w:r>
      <w:r w:rsidR="006D7B34" w:rsidRPr="00AF3362">
        <w:t>,</w:t>
      </w:r>
      <w:r w:rsidRPr="00AF3362">
        <w:t xml:space="preserve"> </w:t>
      </w:r>
      <w:r w:rsidR="006D7B34" w:rsidRPr="00AF3362">
        <w:rPr>
          <w:i/>
          <w:iCs/>
        </w:rPr>
        <w:t>66</w:t>
      </w:r>
      <w:r w:rsidR="006D7B34" w:rsidRPr="00AF3362">
        <w:t xml:space="preserve">(1), 9–16. </w:t>
      </w:r>
      <w:r w:rsidRPr="00AF3362">
        <w:t>doi: 10.1016/j.biopsych.2008.10.047</w:t>
      </w:r>
    </w:p>
    <w:p w:rsidR="003E7904" w:rsidRPr="00AF3362" w:rsidRDefault="00BA0F84" w:rsidP="00F1261A">
      <w:pPr>
        <w:spacing w:after="160" w:line="360" w:lineRule="auto"/>
        <w:ind w:hanging="720"/>
        <w:jc w:val="both"/>
      </w:pPr>
      <w:r w:rsidRPr="00AF3362">
        <w:t xml:space="preserve">Hartman, C. A., Hopfer, C. J., Haberstick, B., Rhee, S. H., Crowley, T. J., Corley, R. P., … Ehringer, M. A. (2009). The association between cannabinoid receptor 1 gene (CNR1) and cannabis dependence symptoms in adolescents and young adults. </w:t>
      </w:r>
      <w:r w:rsidRPr="00AF3362">
        <w:rPr>
          <w:i/>
        </w:rPr>
        <w:t>Drug and Alcohol Dependence</w:t>
      </w:r>
      <w:r w:rsidR="006D7B34" w:rsidRPr="00AF3362">
        <w:rPr>
          <w:i/>
        </w:rPr>
        <w:t>,</w:t>
      </w:r>
      <w:r w:rsidR="006D7B34" w:rsidRPr="00AF3362">
        <w:rPr>
          <w:i/>
          <w:iCs/>
        </w:rPr>
        <w:t xml:space="preserve"> 104</w:t>
      </w:r>
      <w:r w:rsidR="006D7B34" w:rsidRPr="00AF3362">
        <w:t xml:space="preserve">(1–2), 11–16. </w:t>
      </w:r>
      <w:r w:rsidRPr="00AF3362">
        <w:t xml:space="preserve"> doi: 10.1016/j.drugalcdep.2009.01.022</w:t>
      </w:r>
    </w:p>
    <w:p w:rsidR="003E7904" w:rsidRPr="00AF3362" w:rsidRDefault="00BA0F84" w:rsidP="00F1261A">
      <w:pPr>
        <w:spacing w:after="160" w:line="360" w:lineRule="auto"/>
        <w:ind w:hanging="720"/>
        <w:jc w:val="both"/>
      </w:pPr>
      <w:r w:rsidRPr="00AF3362">
        <w:t xml:space="preserve">Haughey, H. M., Marshall, E., Schacht, J. P., Louis, A., &amp; Hutchison, K. E. (2008). Marijuana withdrawal and craving: Influence of the cannabinoid receptor 1 (CNR1) and fatty acid amide hydrolase (FAAH) genes. </w:t>
      </w:r>
      <w:r w:rsidRPr="00AF3362">
        <w:rPr>
          <w:i/>
        </w:rPr>
        <w:t>Addiction</w:t>
      </w:r>
      <w:r w:rsidR="006D7B34" w:rsidRPr="00AF3362">
        <w:t>,</w:t>
      </w:r>
      <w:r w:rsidR="006D7B34" w:rsidRPr="00AF3362">
        <w:rPr>
          <w:i/>
          <w:iCs/>
        </w:rPr>
        <w:t xml:space="preserve"> 103</w:t>
      </w:r>
      <w:r w:rsidR="006D7B34" w:rsidRPr="00AF3362">
        <w:t xml:space="preserve">(10), 1678–1686. </w:t>
      </w:r>
      <w:r w:rsidRPr="00AF3362">
        <w:t xml:space="preserve"> doi: 10.1111/j.1360-0443.2008.02292.x</w:t>
      </w:r>
    </w:p>
    <w:p w:rsidR="003E7904" w:rsidRPr="00AF3362" w:rsidRDefault="00BA0F84" w:rsidP="00F1261A">
      <w:pPr>
        <w:spacing w:after="160" w:line="360" w:lineRule="auto"/>
        <w:ind w:hanging="720"/>
        <w:jc w:val="both"/>
      </w:pPr>
      <w:r w:rsidRPr="00AF3362">
        <w:t xml:space="preserve">Heller, D., Schneider, U., Seifert, J., Cimander, K. F., &amp; Stuhrmann, M. (2001). The cannabinoid receptor gene (CNR1) is not affected in German i.v. drug users. </w:t>
      </w:r>
      <w:r w:rsidRPr="00AF3362">
        <w:rPr>
          <w:i/>
        </w:rPr>
        <w:t xml:space="preserve">Addiction </w:t>
      </w:r>
      <w:r w:rsidR="00A30ABA" w:rsidRPr="00AF3362">
        <w:rPr>
          <w:i/>
        </w:rPr>
        <w:t>B</w:t>
      </w:r>
      <w:r w:rsidRPr="00AF3362">
        <w:rPr>
          <w:i/>
        </w:rPr>
        <w:t>iology</w:t>
      </w:r>
      <w:r w:rsidRPr="00AF3362">
        <w:t>, 6(2), 183–187. doi: 10.1080/13556210020040271</w:t>
      </w:r>
    </w:p>
    <w:p w:rsidR="003E7904" w:rsidRPr="00AF3362" w:rsidRDefault="00BA0F84" w:rsidP="00F1261A">
      <w:pPr>
        <w:spacing w:after="160" w:line="360" w:lineRule="auto"/>
        <w:ind w:hanging="720"/>
        <w:jc w:val="both"/>
      </w:pPr>
      <w:r w:rsidRPr="00AF3362">
        <w:t xml:space="preserve">Herkenham, M., Lynn, A. B., Johnson, M. R., Melvin, L. S., De Costa, B. R., &amp; Rice, K. C. (1991). Characterization and localization of cannabinoid receptors in rat brain: A quantitative in vitro autoradiographic study. </w:t>
      </w:r>
      <w:r w:rsidRPr="00AF3362">
        <w:rPr>
          <w:i/>
        </w:rPr>
        <w:t>Journal of Neuroscience</w:t>
      </w:r>
      <w:r w:rsidR="006D7B34" w:rsidRPr="00AF3362">
        <w:rPr>
          <w:i/>
        </w:rPr>
        <w:t>,</w:t>
      </w:r>
      <w:r w:rsidRPr="00AF3362">
        <w:t xml:space="preserve"> </w:t>
      </w:r>
      <w:r w:rsidR="006D7B34" w:rsidRPr="00AF3362">
        <w:rPr>
          <w:i/>
          <w:iCs/>
        </w:rPr>
        <w:t>11</w:t>
      </w:r>
      <w:r w:rsidR="006D7B34" w:rsidRPr="00AF3362">
        <w:t xml:space="preserve">(2), 563–583. </w:t>
      </w:r>
      <w:r w:rsidRPr="00AF3362">
        <w:t>doi: 10.1523/jneurosci.11-02-00563.1991</w:t>
      </w:r>
    </w:p>
    <w:p w:rsidR="003E7904" w:rsidRPr="00AF3362" w:rsidRDefault="00BA0F84" w:rsidP="00F1261A">
      <w:pPr>
        <w:spacing w:after="160" w:line="360" w:lineRule="auto"/>
        <w:ind w:hanging="720"/>
        <w:jc w:val="both"/>
      </w:pPr>
      <w:r w:rsidRPr="00AF3362">
        <w:t xml:space="preserve">Hindocha, C., Freeman, T., Bloomfield, M., Bramon, E., Morgan, C., &amp; Curran, H. V. (2019). P.147 Acute effects of cannabinoids on addiction endophenotypes are moderated by genes encoding the cannabinoid receptor 1 and FAAH enzyme. </w:t>
      </w:r>
      <w:r w:rsidRPr="00AF3362">
        <w:rPr>
          <w:i/>
        </w:rPr>
        <w:t>European Neuropsychopharmacology</w:t>
      </w:r>
      <w:r w:rsidR="006D7B34" w:rsidRPr="00AF3362">
        <w:rPr>
          <w:i/>
        </w:rPr>
        <w:t>,</w:t>
      </w:r>
      <w:r w:rsidRPr="00AF3362">
        <w:t xml:space="preserve"> </w:t>
      </w:r>
      <w:r w:rsidR="006D7B34" w:rsidRPr="00AF3362">
        <w:rPr>
          <w:i/>
          <w:iCs/>
        </w:rPr>
        <w:t>29</w:t>
      </w:r>
      <w:r w:rsidR="006D7B34" w:rsidRPr="00AF3362">
        <w:t xml:space="preserve">, S116–S117. </w:t>
      </w:r>
      <w:r w:rsidRPr="00AF3362">
        <w:t>doi: 10.1016/j.euroneuro.2019.09.196</w:t>
      </w:r>
    </w:p>
    <w:p w:rsidR="003E7904" w:rsidRPr="00AF3362" w:rsidRDefault="00BA0F84" w:rsidP="00F1261A">
      <w:pPr>
        <w:spacing w:after="160" w:line="360" w:lineRule="auto"/>
        <w:ind w:hanging="720"/>
        <w:jc w:val="both"/>
      </w:pPr>
      <w:r w:rsidRPr="00AF3362">
        <w:t xml:space="preserve">Hindocha, C., Quattrone, D., Freeman, T. P., Murray, R. M., Mondelli, V., Breen, G., … Di Forti, M. (2020). Do AKT1, COMT and FAAH influence reports of acute cannabis intoxication experiences in patients with first episode psychosis, controls and young adult cannabis users? </w:t>
      </w:r>
      <w:r w:rsidRPr="00AF3362">
        <w:rPr>
          <w:i/>
        </w:rPr>
        <w:t>Translational Psychiatry</w:t>
      </w:r>
      <w:r w:rsidR="006D7B34" w:rsidRPr="00AF3362">
        <w:rPr>
          <w:i/>
        </w:rPr>
        <w:t>,</w:t>
      </w:r>
      <w:r w:rsidRPr="00AF3362">
        <w:t xml:space="preserve"> </w:t>
      </w:r>
      <w:r w:rsidR="006D7B34" w:rsidRPr="00AF3362">
        <w:rPr>
          <w:i/>
          <w:iCs/>
        </w:rPr>
        <w:t>10</w:t>
      </w:r>
      <w:r w:rsidR="006D7B34" w:rsidRPr="00AF3362">
        <w:t xml:space="preserve">(1), 143. </w:t>
      </w:r>
      <w:r w:rsidRPr="00AF3362">
        <w:t>doi: 10.1038/s41398-020-0823-9</w:t>
      </w:r>
    </w:p>
    <w:p w:rsidR="003E7904" w:rsidRPr="00AF3362" w:rsidRDefault="00BA0F84" w:rsidP="00F1261A">
      <w:pPr>
        <w:spacing w:after="160" w:line="360" w:lineRule="auto"/>
        <w:ind w:hanging="720"/>
        <w:jc w:val="both"/>
      </w:pPr>
      <w:r w:rsidRPr="00AF3362">
        <w:t xml:space="preserve">Ho, B. C., Wassink, T. H., Ziebell, S., &amp; Andreasen, N. C. (2011). Cannabinoid receptor 1 gene polymorphisms and marijuana misuse interactions on white matter and cognitive deficits in schizophrenia. </w:t>
      </w:r>
      <w:r w:rsidRPr="00AF3362">
        <w:rPr>
          <w:i/>
        </w:rPr>
        <w:t>Schizophrenia Research</w:t>
      </w:r>
      <w:r w:rsidR="006D7B34" w:rsidRPr="00AF3362">
        <w:t>,</w:t>
      </w:r>
      <w:r w:rsidRPr="00AF3362">
        <w:t xml:space="preserve"> </w:t>
      </w:r>
      <w:r w:rsidR="006D7B34" w:rsidRPr="00AF3362">
        <w:rPr>
          <w:i/>
          <w:iCs/>
        </w:rPr>
        <w:t>128</w:t>
      </w:r>
      <w:r w:rsidR="006D7B34" w:rsidRPr="00AF3362">
        <w:t xml:space="preserve">(1–3), 66–75. </w:t>
      </w:r>
      <w:r w:rsidRPr="00AF3362">
        <w:t>doi: 10.1016/j.schres.2011.02.021</w:t>
      </w:r>
    </w:p>
    <w:p w:rsidR="003E7904" w:rsidRPr="00AF3362" w:rsidRDefault="00BA0F84" w:rsidP="00F1261A">
      <w:pPr>
        <w:spacing w:after="160" w:line="360" w:lineRule="auto"/>
        <w:ind w:hanging="720"/>
        <w:jc w:val="both"/>
      </w:pPr>
      <w:r w:rsidRPr="00AF3362">
        <w:t xml:space="preserve">Ishiguro, H., Iwasaki, S., Teasenfitz, L., Higuchi, S., Horiuchi, Y., Saito, T., … Onaivi, E. S. (2007). Involvement of cannabinoid CB2 receptor in alcohol preference in mice and alcoholism in humans. </w:t>
      </w:r>
      <w:r w:rsidRPr="00AF3362">
        <w:rPr>
          <w:i/>
        </w:rPr>
        <w:t>Pharmacogenomics Journal</w:t>
      </w:r>
      <w:r w:rsidR="00BC2EF2" w:rsidRPr="00AF3362">
        <w:t>,</w:t>
      </w:r>
      <w:r w:rsidRPr="00AF3362">
        <w:t xml:space="preserve"> </w:t>
      </w:r>
      <w:r w:rsidR="00BC2EF2" w:rsidRPr="00AF3362">
        <w:rPr>
          <w:i/>
          <w:iCs/>
        </w:rPr>
        <w:t>7</w:t>
      </w:r>
      <w:r w:rsidR="00BC2EF2" w:rsidRPr="00AF3362">
        <w:t>(6), 380–385.</w:t>
      </w:r>
      <w:r w:rsidRPr="00AF3362">
        <w:t>doi: 10.1038/sj.tpj.6500431</w:t>
      </w:r>
    </w:p>
    <w:p w:rsidR="003E7904" w:rsidRPr="00AF3362" w:rsidRDefault="00BA0F84" w:rsidP="00F1261A">
      <w:pPr>
        <w:spacing w:after="160" w:line="360" w:lineRule="auto"/>
        <w:ind w:hanging="720"/>
        <w:jc w:val="both"/>
      </w:pPr>
      <w:r w:rsidRPr="00122C96">
        <w:t xml:space="preserve">Ishiguro, H., Horiuchi, Y., Ishikawa, M., Koga, M., Imai, K., Suzuki, Y., … </w:t>
      </w:r>
      <w:r w:rsidRPr="00AF3362">
        <w:t xml:space="preserve">Arinami, T. (2010). Brain Cannabinoid CB2 Receptor in Schizophrenia. </w:t>
      </w:r>
      <w:r w:rsidRPr="00AF3362">
        <w:rPr>
          <w:i/>
        </w:rPr>
        <w:t>Biological Psychiatry</w:t>
      </w:r>
      <w:r w:rsidR="006D7B34" w:rsidRPr="00AF3362">
        <w:rPr>
          <w:i/>
        </w:rPr>
        <w:t xml:space="preserve">, </w:t>
      </w:r>
      <w:r w:rsidRPr="00AF3362">
        <w:t xml:space="preserve"> </w:t>
      </w:r>
      <w:r w:rsidR="00BC2EF2" w:rsidRPr="00AF3362">
        <w:rPr>
          <w:i/>
          <w:iCs/>
        </w:rPr>
        <w:t>67</w:t>
      </w:r>
      <w:r w:rsidR="00BC2EF2" w:rsidRPr="00AF3362">
        <w:t xml:space="preserve">(10), 974–982. </w:t>
      </w:r>
      <w:r w:rsidRPr="00AF3362">
        <w:t>doi: 10.1016/j.biopsych.2009.09.024</w:t>
      </w:r>
    </w:p>
    <w:p w:rsidR="003E7904" w:rsidRPr="00AF3362" w:rsidRDefault="00BA0F84" w:rsidP="00F1261A">
      <w:pPr>
        <w:spacing w:after="160" w:line="360" w:lineRule="auto"/>
        <w:ind w:hanging="720"/>
        <w:jc w:val="both"/>
      </w:pPr>
      <w:r w:rsidRPr="00AF3362">
        <w:t xml:space="preserve">Javed, H., Azimullah, S., Haque, M. E., &amp; Ojha, S. K. (2016). Cannabinoid type 2 (CB2) receptors activation protects against oxidative stress and neuroinflammation associated dopaminergic neurodegeneration in rotenone model of parkinson’s disease. </w:t>
      </w:r>
      <w:r w:rsidRPr="00AF3362">
        <w:rPr>
          <w:i/>
        </w:rPr>
        <w:t>Frontiers in Neuroscience</w:t>
      </w:r>
      <w:r w:rsidR="00BC2EF2" w:rsidRPr="00AF3362">
        <w:rPr>
          <w:i/>
        </w:rPr>
        <w:t>,</w:t>
      </w:r>
      <w:r w:rsidRPr="00AF3362">
        <w:t xml:space="preserve"> </w:t>
      </w:r>
      <w:r w:rsidR="00BC2EF2" w:rsidRPr="00AF3362">
        <w:rPr>
          <w:i/>
          <w:iCs/>
        </w:rPr>
        <w:t>10</w:t>
      </w:r>
      <w:r w:rsidR="00BC2EF2" w:rsidRPr="00AF3362">
        <w:t xml:space="preserve">. </w:t>
      </w:r>
      <w:r w:rsidRPr="00AF3362">
        <w:t>doi: 10.3389/fnins.2016.00321</w:t>
      </w:r>
    </w:p>
    <w:p w:rsidR="00A30ABA" w:rsidRPr="00AF3362" w:rsidRDefault="00BA0F84" w:rsidP="00A30ABA">
      <w:pPr>
        <w:spacing w:after="160" w:line="360" w:lineRule="auto"/>
        <w:ind w:hanging="720"/>
        <w:jc w:val="both"/>
      </w:pPr>
      <w:r w:rsidRPr="00AF3362">
        <w:t xml:space="preserve">Juckel, G., Manitz, M. P., Brüne, M., Friebe, A., Heneka, M. T., &amp; Wolf, R. J. (2011). Microglial activation in a neuroinflammational animal model of schizophrenia - a pilot study. </w:t>
      </w:r>
      <w:r w:rsidRPr="00AF3362">
        <w:rPr>
          <w:i/>
        </w:rPr>
        <w:t>Schizophrenia Research</w:t>
      </w:r>
      <w:r w:rsidR="00BC2EF2" w:rsidRPr="00AF3362">
        <w:rPr>
          <w:i/>
        </w:rPr>
        <w:t>,</w:t>
      </w:r>
      <w:r w:rsidRPr="00AF3362">
        <w:t xml:space="preserve"> </w:t>
      </w:r>
      <w:r w:rsidR="00BC2EF2" w:rsidRPr="00AF3362">
        <w:rPr>
          <w:i/>
          <w:iCs/>
        </w:rPr>
        <w:t>131</w:t>
      </w:r>
      <w:r w:rsidR="00BC2EF2" w:rsidRPr="00AF3362">
        <w:t xml:space="preserve">(1–3), 96–100. </w:t>
      </w:r>
      <w:r w:rsidRPr="00AF3362">
        <w:t>doi: 10.1016/j.schres.2011.06.018</w:t>
      </w:r>
    </w:p>
    <w:p w:rsidR="005B30C1" w:rsidRPr="00AF3362" w:rsidRDefault="005B30C1" w:rsidP="00A30ABA">
      <w:pPr>
        <w:spacing w:after="160" w:line="360" w:lineRule="auto"/>
        <w:ind w:hanging="720"/>
        <w:jc w:val="both"/>
      </w:pPr>
      <w:r w:rsidRPr="00AF3362">
        <w:rPr>
          <w:lang w:val="en-US"/>
        </w:rPr>
        <w:t xml:space="preserve">Kay, S. R., Fiszbein, A., &amp; Opler, L. A. (1987). The positive and negative syndrome scale (PANSS) for schizophrenia. </w:t>
      </w:r>
      <w:r w:rsidRPr="00AF3362">
        <w:rPr>
          <w:i/>
          <w:lang w:val="en-US"/>
        </w:rPr>
        <w:t>Schizophrenia Bulletin</w:t>
      </w:r>
      <w:r w:rsidRPr="00AF3362">
        <w:rPr>
          <w:lang w:val="en-US"/>
        </w:rPr>
        <w:t xml:space="preserve">, </w:t>
      </w:r>
      <w:r w:rsidRPr="00AF3362">
        <w:rPr>
          <w:i/>
          <w:lang w:val="en-US"/>
        </w:rPr>
        <w:t>13</w:t>
      </w:r>
      <w:r w:rsidRPr="00AF3362">
        <w:rPr>
          <w:lang w:val="en-US"/>
        </w:rPr>
        <w:t>, 261-276.</w:t>
      </w:r>
    </w:p>
    <w:p w:rsidR="003E7904" w:rsidRPr="00AF3362" w:rsidRDefault="00BA0F84" w:rsidP="00F1261A">
      <w:pPr>
        <w:spacing w:after="160" w:line="360" w:lineRule="auto"/>
        <w:ind w:hanging="720"/>
        <w:jc w:val="both"/>
      </w:pPr>
      <w:r w:rsidRPr="00122C96">
        <w:t xml:space="preserve">Kong, W., Li, H., Tuma, R. F., &amp; Ganea, D. (2014). </w:t>
      </w:r>
      <w:r w:rsidRPr="00AF3362">
        <w:t xml:space="preserve">Selective CB2 receptor activation ameliorates EAE by reducing Th17 differentiation and immune cell accumulation in the CNS. </w:t>
      </w:r>
      <w:r w:rsidRPr="00AF3362">
        <w:rPr>
          <w:i/>
        </w:rPr>
        <w:t>Cellular Immunology</w:t>
      </w:r>
      <w:r w:rsidR="00BC2EF2" w:rsidRPr="00AF3362">
        <w:rPr>
          <w:i/>
        </w:rPr>
        <w:t>,</w:t>
      </w:r>
      <w:r w:rsidRPr="00AF3362">
        <w:t xml:space="preserve"> </w:t>
      </w:r>
      <w:r w:rsidR="00BC2EF2" w:rsidRPr="00AF3362">
        <w:rPr>
          <w:i/>
          <w:iCs/>
        </w:rPr>
        <w:t>287</w:t>
      </w:r>
      <w:r w:rsidR="00BC2EF2" w:rsidRPr="00AF3362">
        <w:t xml:space="preserve">(1), 1–17. </w:t>
      </w:r>
      <w:r w:rsidRPr="00AF3362">
        <w:t>doi: 10.1016/j.cellimm.2013.11.002</w:t>
      </w:r>
    </w:p>
    <w:p w:rsidR="003E7904" w:rsidRPr="00AF3362" w:rsidRDefault="00BA0F84" w:rsidP="00F1261A">
      <w:pPr>
        <w:spacing w:after="160" w:line="360" w:lineRule="auto"/>
        <w:ind w:hanging="720"/>
        <w:jc w:val="both"/>
      </w:pPr>
      <w:r w:rsidRPr="00AF3362">
        <w:t xml:space="preserve">Krebs, M. O., Morvan, Y., Jay, T., Gaillard, R., &amp; Kebir, O. (2014). Psychotomimetic effects at initiation of cannabis use are associated with cannabinoid receptor 1 (CNR1) variants in healthy students. </w:t>
      </w:r>
      <w:r w:rsidRPr="00AF3362">
        <w:rPr>
          <w:i/>
        </w:rPr>
        <w:t>Molecular Psychiatry</w:t>
      </w:r>
      <w:r w:rsidR="00BC2EF2" w:rsidRPr="00AF3362">
        <w:rPr>
          <w:i/>
        </w:rPr>
        <w:t>,</w:t>
      </w:r>
      <w:r w:rsidRPr="00AF3362">
        <w:t xml:space="preserve"> </w:t>
      </w:r>
      <w:r w:rsidR="00BC2EF2" w:rsidRPr="00AF3362">
        <w:rPr>
          <w:i/>
          <w:iCs/>
        </w:rPr>
        <w:t>19</w:t>
      </w:r>
      <w:r w:rsidR="00BC2EF2" w:rsidRPr="00AF3362">
        <w:t xml:space="preserve">(4), 402–403. </w:t>
      </w:r>
      <w:r w:rsidRPr="00AF3362">
        <w:t>doi: 10.1038/mp.2013.188</w:t>
      </w:r>
    </w:p>
    <w:p w:rsidR="003E7904" w:rsidRPr="00AF3362" w:rsidRDefault="00BA0F84" w:rsidP="00F1261A">
      <w:pPr>
        <w:spacing w:after="160" w:line="360" w:lineRule="auto"/>
        <w:ind w:hanging="720"/>
        <w:jc w:val="both"/>
      </w:pPr>
      <w:r w:rsidRPr="00AF3362">
        <w:t xml:space="preserve">Leroy, S., Griffon, N., Bourdel, M. C., Olié, J. P., Poirier, M. F., &amp; Krebs, M. O. (2001). Schizophrenia and the cannabinoid receptor type 1 (CB1): Association study using a single-base polymorphism in coding exon 1. </w:t>
      </w:r>
      <w:r w:rsidRPr="00AF3362">
        <w:rPr>
          <w:i/>
        </w:rPr>
        <w:t>American Journal of Medical Genetics - Neuropsychiatric Genetics</w:t>
      </w:r>
      <w:r w:rsidR="00BC2EF2" w:rsidRPr="00AF3362">
        <w:rPr>
          <w:i/>
        </w:rPr>
        <w:t>,</w:t>
      </w:r>
      <w:r w:rsidRPr="00AF3362">
        <w:t xml:space="preserve"> </w:t>
      </w:r>
      <w:r w:rsidR="00BC2EF2" w:rsidRPr="00AF3362">
        <w:rPr>
          <w:i/>
          <w:iCs/>
        </w:rPr>
        <w:t>105</w:t>
      </w:r>
      <w:r w:rsidR="00BC2EF2" w:rsidRPr="00AF3362">
        <w:t xml:space="preserve">(8), 749–752. </w:t>
      </w:r>
      <w:r w:rsidRPr="00AF3362">
        <w:t>doi: 10.1002/ajmg.10038</w:t>
      </w:r>
    </w:p>
    <w:p w:rsidR="003E7904" w:rsidRPr="00AF3362" w:rsidRDefault="00BA0F84" w:rsidP="00F1261A">
      <w:pPr>
        <w:spacing w:after="160" w:line="360" w:lineRule="auto"/>
        <w:ind w:hanging="720"/>
        <w:jc w:val="both"/>
      </w:pPr>
      <w:r w:rsidRPr="00AF3362">
        <w:t xml:space="preserve">Li, T., Liu, X., Zhu, Z. H., Zhao, J., Hu, X., Ball, D. M., </w:t>
      </w:r>
      <w:r w:rsidR="00A30ABA" w:rsidRPr="00AF3362">
        <w:t>….,</w:t>
      </w:r>
      <w:r w:rsidRPr="00AF3362">
        <w:t xml:space="preserve"> &amp; Collier, D. A. (2000). No association between (AAT)n repeats in the cannabinoid receptor gene (CNR1) and heroin abuse in a Chinese population. </w:t>
      </w:r>
      <w:r w:rsidRPr="00AF3362">
        <w:rPr>
          <w:i/>
        </w:rPr>
        <w:t xml:space="preserve">Molecular </w:t>
      </w:r>
      <w:r w:rsidR="00A30ABA" w:rsidRPr="00AF3362">
        <w:rPr>
          <w:i/>
        </w:rPr>
        <w:t>P</w:t>
      </w:r>
      <w:r w:rsidRPr="00AF3362">
        <w:rPr>
          <w:i/>
        </w:rPr>
        <w:t>sychiatry</w:t>
      </w:r>
      <w:r w:rsidRPr="00AF3362">
        <w:t>, </w:t>
      </w:r>
      <w:r w:rsidRPr="00AF3362">
        <w:rPr>
          <w:i/>
        </w:rPr>
        <w:t>5</w:t>
      </w:r>
      <w:r w:rsidRPr="00AF3362">
        <w:t>(2), 128–130. doi: 10.1038/sj.mp.4000670</w:t>
      </w:r>
    </w:p>
    <w:p w:rsidR="003E7904" w:rsidRPr="00AF3362" w:rsidRDefault="00BA0F84" w:rsidP="00F1261A">
      <w:pPr>
        <w:spacing w:after="160" w:line="360" w:lineRule="auto"/>
        <w:ind w:hanging="720"/>
        <w:jc w:val="both"/>
        <w:rPr>
          <w:lang w:val="es-ES"/>
        </w:rPr>
      </w:pPr>
      <w:r w:rsidRPr="00AF3362">
        <w:t xml:space="preserve">Malfitano, A. M., Basu, S., Maresz, K., Bifulco, M., &amp; Dittel, B. N. (2014). What we know and do not know about the cannabinoid receptor 2 (CB2). </w:t>
      </w:r>
      <w:r w:rsidRPr="00AF3362">
        <w:rPr>
          <w:i/>
          <w:lang w:val="es-ES"/>
        </w:rPr>
        <w:t>Seminars in Immunology</w:t>
      </w:r>
      <w:r w:rsidR="00BC2EF2" w:rsidRPr="00AF3362">
        <w:rPr>
          <w:lang w:val="es-ES"/>
        </w:rPr>
        <w:t>,</w:t>
      </w:r>
      <w:r w:rsidRPr="00AF3362">
        <w:rPr>
          <w:lang w:val="es-ES"/>
        </w:rPr>
        <w:t xml:space="preserve"> </w:t>
      </w:r>
      <w:r w:rsidR="00BC2EF2" w:rsidRPr="00AF3362">
        <w:rPr>
          <w:i/>
          <w:iCs/>
          <w:lang w:val="es-ES"/>
        </w:rPr>
        <w:t>26</w:t>
      </w:r>
      <w:r w:rsidR="00BC2EF2" w:rsidRPr="00AF3362">
        <w:rPr>
          <w:lang w:val="es-ES"/>
        </w:rPr>
        <w:t xml:space="preserve">(5), 369–379. </w:t>
      </w:r>
      <w:r w:rsidRPr="00AF3362">
        <w:rPr>
          <w:lang w:val="es-ES"/>
        </w:rPr>
        <w:t>doi: 10.1016/j.smim.2014.04.002</w:t>
      </w:r>
    </w:p>
    <w:p w:rsidR="00A30ABA" w:rsidRPr="00AF3362" w:rsidRDefault="00A30ABA" w:rsidP="00F1261A">
      <w:pPr>
        <w:spacing w:after="160" w:line="360" w:lineRule="auto"/>
        <w:ind w:hanging="720"/>
        <w:jc w:val="both"/>
      </w:pPr>
      <w:r w:rsidRPr="00AF3362">
        <w:rPr>
          <w:lang w:val="es-ES"/>
        </w:rPr>
        <w:t xml:space="preserve">Manzanares, J., Cabañero, D., Puente, N., García-Gutiérrez, M. S., Grandes, P., &amp; Maldonado, R. (2018). </w:t>
      </w:r>
      <w:r w:rsidRPr="00AF3362">
        <w:t xml:space="preserve">Role of the endocannabinoid system in drug addiction. </w:t>
      </w:r>
      <w:r w:rsidRPr="00AF3362">
        <w:rPr>
          <w:i/>
        </w:rPr>
        <w:t xml:space="preserve">Biochemical Pharmacology. </w:t>
      </w:r>
      <w:r w:rsidR="00BC2EF2" w:rsidRPr="00AF3362">
        <w:rPr>
          <w:i/>
          <w:iCs/>
        </w:rPr>
        <w:t>157</w:t>
      </w:r>
      <w:r w:rsidR="00BC2EF2" w:rsidRPr="00AF3362">
        <w:t xml:space="preserve">, 108–121. </w:t>
      </w:r>
      <w:r w:rsidRPr="00AF3362">
        <w:t>doi: 10.1016/j.bcp.2018.09.013</w:t>
      </w:r>
    </w:p>
    <w:p w:rsidR="003E7904" w:rsidRPr="00AF3362" w:rsidRDefault="00BA0F84" w:rsidP="00F1261A">
      <w:pPr>
        <w:spacing w:after="160" w:line="360" w:lineRule="auto"/>
        <w:ind w:hanging="720"/>
        <w:jc w:val="both"/>
      </w:pPr>
      <w:r w:rsidRPr="00AF3362">
        <w:t>Marconi, A., Di Forti, M., Lewis, C. M., Murray, R. M., &amp; Vassos, E. (2016). Meta-Analysis of the association between the level of cannabis use and risk of psychosis.</w:t>
      </w:r>
      <w:r w:rsidRPr="00AF3362">
        <w:rPr>
          <w:i/>
        </w:rPr>
        <w:t xml:space="preserve"> Schizophrenia Bulletin</w:t>
      </w:r>
      <w:r w:rsidR="002317C7" w:rsidRPr="00AF3362">
        <w:rPr>
          <w:i/>
        </w:rPr>
        <w:t>,</w:t>
      </w:r>
      <w:r w:rsidRPr="00AF3362">
        <w:t xml:space="preserve"> </w:t>
      </w:r>
      <w:r w:rsidR="002317C7" w:rsidRPr="00AF3362">
        <w:t xml:space="preserve">42, 1262-69. </w:t>
      </w:r>
      <w:r w:rsidRPr="00AF3362">
        <w:t>doi: 10.1093/schbul/sbw003</w:t>
      </w:r>
    </w:p>
    <w:p w:rsidR="003E7904" w:rsidRPr="00AF3362" w:rsidRDefault="00BA0F84" w:rsidP="00F1261A">
      <w:pPr>
        <w:spacing w:after="160" w:line="360" w:lineRule="auto"/>
        <w:ind w:hanging="720"/>
        <w:jc w:val="both"/>
      </w:pPr>
      <w:r w:rsidRPr="00AF3362">
        <w:t xml:space="preserve">Martínez-Gras, I., Hoenicka, J., Ponce, G., Rodríguez–Jiménez, R., Jiménez-Arriero, M. A., Pérez-Hernandez, E., … Rubio, G. (2006). (AAT)n repeat in the cannabinoid receptor gene, CNR1: Association with schizophrenia in a Spanish population. </w:t>
      </w:r>
      <w:r w:rsidRPr="00AF3362">
        <w:rPr>
          <w:i/>
        </w:rPr>
        <w:t>European Archives of Psychiatry and Clinical Neuroscience</w:t>
      </w:r>
      <w:r w:rsidR="00536DBA" w:rsidRPr="00AF3362">
        <w:rPr>
          <w:i/>
        </w:rPr>
        <w:t>,</w:t>
      </w:r>
      <w:r w:rsidRPr="00AF3362">
        <w:t xml:space="preserve"> </w:t>
      </w:r>
      <w:r w:rsidR="00536DBA" w:rsidRPr="00AF3362">
        <w:rPr>
          <w:i/>
          <w:iCs/>
        </w:rPr>
        <w:t>256</w:t>
      </w:r>
      <w:r w:rsidR="00536DBA" w:rsidRPr="00AF3362">
        <w:t xml:space="preserve">(7), 437–441. </w:t>
      </w:r>
      <w:r w:rsidRPr="00AF3362">
        <w:t>doi: 10.1007/s00406-006-0665-3</w:t>
      </w:r>
    </w:p>
    <w:p w:rsidR="003E7904" w:rsidRPr="00AF3362" w:rsidRDefault="00BA0F84" w:rsidP="00F1261A">
      <w:pPr>
        <w:spacing w:after="160" w:line="360" w:lineRule="auto"/>
        <w:ind w:hanging="720"/>
        <w:jc w:val="both"/>
      </w:pPr>
      <w:r w:rsidRPr="00AF3362">
        <w:t xml:space="preserve">Melroy-Greif, W. E., Wilhelmsen, K. C., &amp; Ehlers, C. L. (2016). Genetic variation in FAAH is associated with cannabis use disorders in a young adult sample of Mexican Americans. </w:t>
      </w:r>
      <w:r w:rsidRPr="00AF3362">
        <w:rPr>
          <w:i/>
        </w:rPr>
        <w:t>Drug and Alcohol Dependence</w:t>
      </w:r>
      <w:r w:rsidR="00C72284" w:rsidRPr="00AF3362">
        <w:t>,</w:t>
      </w:r>
      <w:r w:rsidRPr="00AF3362">
        <w:t xml:space="preserve"> </w:t>
      </w:r>
      <w:r w:rsidR="00C72284" w:rsidRPr="00AF3362">
        <w:rPr>
          <w:i/>
          <w:iCs/>
        </w:rPr>
        <w:t>166</w:t>
      </w:r>
      <w:r w:rsidR="00C72284" w:rsidRPr="00AF3362">
        <w:t xml:space="preserve">, 249–253. </w:t>
      </w:r>
      <w:r w:rsidRPr="00AF3362">
        <w:t>doi: 10.1016/j.drugalcdep.2016.06.021</w:t>
      </w:r>
    </w:p>
    <w:p w:rsidR="003E7904" w:rsidRPr="00AF3362" w:rsidRDefault="00BA0F84" w:rsidP="00F1261A">
      <w:pPr>
        <w:spacing w:after="160" w:line="360" w:lineRule="auto"/>
        <w:ind w:hanging="720"/>
        <w:jc w:val="both"/>
      </w:pPr>
      <w:r w:rsidRPr="00AF3362">
        <w:t xml:space="preserve">Minichino, A., Senior, M., Brondino, N., Zhang, S. H., Godwlewska, B. R., Burnet, P. W. J., … Lennox, B. R. (2019). Measuring Disturbance of the Endocannabinoid System in Psychosis: A Systematic Review and Meta-analysis. </w:t>
      </w:r>
      <w:r w:rsidRPr="00AF3362">
        <w:rPr>
          <w:i/>
        </w:rPr>
        <w:t>JAMA Psychiatry</w:t>
      </w:r>
      <w:r w:rsidR="00C72284" w:rsidRPr="00AF3362">
        <w:rPr>
          <w:i/>
        </w:rPr>
        <w:t>,</w:t>
      </w:r>
      <w:r w:rsidRPr="00AF3362">
        <w:t xml:space="preserve"> </w:t>
      </w:r>
      <w:r w:rsidR="00C72284" w:rsidRPr="00AF3362">
        <w:rPr>
          <w:i/>
          <w:iCs/>
        </w:rPr>
        <w:t>76</w:t>
      </w:r>
      <w:r w:rsidR="00C72284" w:rsidRPr="00AF3362">
        <w:t xml:space="preserve">(9), 914. </w:t>
      </w:r>
      <w:r w:rsidRPr="00AF3362">
        <w:t>doi: 10.1001/jamapsychiatry.2019.0970</w:t>
      </w:r>
    </w:p>
    <w:p w:rsidR="003E7904" w:rsidRPr="00AF3362" w:rsidRDefault="00BA0F84" w:rsidP="00F1261A">
      <w:pPr>
        <w:spacing w:after="160" w:line="360" w:lineRule="auto"/>
        <w:ind w:hanging="720"/>
        <w:jc w:val="both"/>
      </w:pPr>
      <w:r w:rsidRPr="00AF3362">
        <w:t xml:space="preserve">Morita, Y., Ujike, H., Tanaka, Y., Uchida, N., Nomura, A., Ohtani, K., … Kuroda, S. (2005). A nonsynonymous polymorphism in the human fatty acid amide hydrolase gene did not associate with either methamphetamine dependence or schizophrenia. </w:t>
      </w:r>
      <w:r w:rsidRPr="00AF3362">
        <w:rPr>
          <w:i/>
        </w:rPr>
        <w:t>Neuroscience Letters</w:t>
      </w:r>
      <w:r w:rsidR="00C72284" w:rsidRPr="00AF3362">
        <w:t>,</w:t>
      </w:r>
      <w:r w:rsidRPr="00AF3362">
        <w:t xml:space="preserve"> </w:t>
      </w:r>
      <w:r w:rsidR="00C72284" w:rsidRPr="00AF3362">
        <w:rPr>
          <w:i/>
          <w:iCs/>
        </w:rPr>
        <w:t>376</w:t>
      </w:r>
      <w:r w:rsidR="00C72284" w:rsidRPr="00AF3362">
        <w:t xml:space="preserve">(3), 182–187. </w:t>
      </w:r>
      <w:r w:rsidRPr="00AF3362">
        <w:t>doi: 10.1016/j.neulet.2004.11.050</w:t>
      </w:r>
    </w:p>
    <w:p w:rsidR="003E7904" w:rsidRPr="00AF3362" w:rsidRDefault="00BA0F84" w:rsidP="00F1261A">
      <w:pPr>
        <w:spacing w:after="160" w:line="360" w:lineRule="auto"/>
        <w:ind w:hanging="720"/>
        <w:jc w:val="both"/>
      </w:pPr>
      <w:r w:rsidRPr="00AF3362">
        <w:t xml:space="preserve">Onaivi, E. S., Ishiguro, H., Gong, J. P., Patel, S., Perchuk, A., Meozzi, P. A., … Uhl, G. R. (2006). Discovery of the presence and functional expression of cannabinoid CB2 receptors in brain. </w:t>
      </w:r>
      <w:r w:rsidRPr="00AF3362">
        <w:rPr>
          <w:i/>
        </w:rPr>
        <w:t>Annals of the New York Academy of Sciences</w:t>
      </w:r>
      <w:r w:rsidR="00C72284" w:rsidRPr="00AF3362">
        <w:rPr>
          <w:i/>
        </w:rPr>
        <w:t>,</w:t>
      </w:r>
      <w:r w:rsidRPr="00AF3362">
        <w:t xml:space="preserve"> </w:t>
      </w:r>
      <w:r w:rsidR="00C72284" w:rsidRPr="00AF3362">
        <w:rPr>
          <w:i/>
          <w:iCs/>
        </w:rPr>
        <w:t>1074</w:t>
      </w:r>
      <w:r w:rsidR="00C72284" w:rsidRPr="00AF3362">
        <w:t xml:space="preserve">(1), 514–536. </w:t>
      </w:r>
      <w:r w:rsidRPr="00AF3362">
        <w:t>doi: 10.1196/annals.1369.052</w:t>
      </w:r>
    </w:p>
    <w:p w:rsidR="003E7904" w:rsidRPr="00AF3362" w:rsidRDefault="00BA0F84" w:rsidP="00F1261A">
      <w:pPr>
        <w:spacing w:after="160" w:line="360" w:lineRule="auto"/>
        <w:ind w:hanging="720"/>
        <w:jc w:val="both"/>
        <w:rPr>
          <w:lang w:val="es-ES"/>
        </w:rPr>
      </w:pPr>
      <w:r w:rsidRPr="00AF3362">
        <w:rPr>
          <w:lang w:val="es-ES"/>
        </w:rPr>
        <w:t xml:space="preserve">Onaivi, E. S., Ishiguro, H., Gu, S., &amp; Liu, Q. R. (2012). </w:t>
      </w:r>
      <w:r w:rsidRPr="00AF3362">
        <w:t xml:space="preserve">CNS effects of CB2 cannabinoid receptors: Beyond neuro-immuno-cannabinoid activity. </w:t>
      </w:r>
      <w:r w:rsidRPr="00AF3362">
        <w:rPr>
          <w:i/>
          <w:lang w:val="es-ES"/>
        </w:rPr>
        <w:t>Journal of Psychopharmacology</w:t>
      </w:r>
      <w:r w:rsidR="00C72284" w:rsidRPr="00AF3362">
        <w:rPr>
          <w:i/>
          <w:lang w:val="es-ES"/>
        </w:rPr>
        <w:t>,</w:t>
      </w:r>
      <w:r w:rsidR="00C72284" w:rsidRPr="00AF3362">
        <w:rPr>
          <w:lang w:val="es-ES"/>
        </w:rPr>
        <w:t xml:space="preserve"> </w:t>
      </w:r>
      <w:r w:rsidR="00C72284" w:rsidRPr="00AF3362">
        <w:rPr>
          <w:i/>
          <w:iCs/>
          <w:lang w:val="es-ES"/>
        </w:rPr>
        <w:t>26</w:t>
      </w:r>
      <w:r w:rsidR="00C72284" w:rsidRPr="00AF3362">
        <w:rPr>
          <w:lang w:val="es-ES"/>
        </w:rPr>
        <w:t xml:space="preserve">(1), 92–103. </w:t>
      </w:r>
      <w:r w:rsidRPr="00AF3362">
        <w:rPr>
          <w:lang w:val="es-ES"/>
        </w:rPr>
        <w:t>doi: 10.1177/0269881111400652</w:t>
      </w:r>
    </w:p>
    <w:p w:rsidR="003E7904" w:rsidRPr="00AF3362" w:rsidRDefault="00BA0F84" w:rsidP="00F1261A">
      <w:pPr>
        <w:spacing w:after="160" w:line="360" w:lineRule="auto"/>
        <w:ind w:hanging="720"/>
        <w:jc w:val="both"/>
        <w:rPr>
          <w:lang w:val="es-ES"/>
        </w:rPr>
      </w:pPr>
      <w:r w:rsidRPr="00AF3362">
        <w:rPr>
          <w:lang w:val="es-ES"/>
        </w:rPr>
        <w:t xml:space="preserve">Ortega-Alvaro, A., Aracil-Fernández, A., García-Gutiérrez, M. S., Navarrete, F., &amp; Manzanares, J. (2011). </w:t>
      </w:r>
      <w:r w:rsidRPr="00AF3362">
        <w:t xml:space="preserve">Deletion of CB2 cannabinoid receptor induces schizophrenia-related behaviors in mice. </w:t>
      </w:r>
      <w:r w:rsidRPr="00AF3362">
        <w:rPr>
          <w:i/>
          <w:lang w:val="es-ES"/>
        </w:rPr>
        <w:t>Neuropsychopharmacology</w:t>
      </w:r>
      <w:r w:rsidR="00C72284" w:rsidRPr="00AF3362">
        <w:rPr>
          <w:lang w:val="es-ES"/>
        </w:rPr>
        <w:t>,</w:t>
      </w:r>
      <w:r w:rsidRPr="00AF3362">
        <w:rPr>
          <w:lang w:val="es-ES"/>
        </w:rPr>
        <w:t xml:space="preserve"> </w:t>
      </w:r>
      <w:r w:rsidR="00C72284" w:rsidRPr="00AF3362">
        <w:rPr>
          <w:i/>
          <w:iCs/>
          <w:lang w:val="es-ES"/>
        </w:rPr>
        <w:t>36</w:t>
      </w:r>
      <w:r w:rsidR="00C72284" w:rsidRPr="00AF3362">
        <w:rPr>
          <w:lang w:val="es-ES"/>
        </w:rPr>
        <w:t xml:space="preserve">(7), 1489–1504. </w:t>
      </w:r>
      <w:r w:rsidRPr="00AF3362">
        <w:rPr>
          <w:lang w:val="es-ES"/>
        </w:rPr>
        <w:t>doi: 10.1038/npp.2011.34</w:t>
      </w:r>
    </w:p>
    <w:p w:rsidR="00A30ABA" w:rsidRPr="00AF3362" w:rsidRDefault="00BA0F84" w:rsidP="00A30ABA">
      <w:pPr>
        <w:spacing w:after="160" w:line="360" w:lineRule="auto"/>
        <w:ind w:hanging="720"/>
        <w:jc w:val="both"/>
      </w:pPr>
      <w:r w:rsidRPr="00AF3362">
        <w:rPr>
          <w:lang w:val="es-ES"/>
        </w:rPr>
        <w:t xml:space="preserve">Patel, M. M., Nielsen, D. A., Kosten, T. R., De La Garza, R., Newton, T. F., &amp; Verrico, C. D. (2018). </w:t>
      </w:r>
      <w:r w:rsidRPr="00AF3362">
        <w:t xml:space="preserve">FAAH variant Pro129Thr modulates subjective effects produced by cocaine administration. </w:t>
      </w:r>
      <w:r w:rsidRPr="00AF3362">
        <w:rPr>
          <w:i/>
        </w:rPr>
        <w:t>American Journal on Addictions</w:t>
      </w:r>
      <w:r w:rsidR="00CA22D5" w:rsidRPr="00AF3362">
        <w:rPr>
          <w:i/>
        </w:rPr>
        <w:t>,</w:t>
      </w:r>
      <w:r w:rsidRPr="00AF3362">
        <w:t xml:space="preserve"> </w:t>
      </w:r>
      <w:r w:rsidR="00CA22D5" w:rsidRPr="00AF3362">
        <w:rPr>
          <w:i/>
          <w:iCs/>
        </w:rPr>
        <w:t>27</w:t>
      </w:r>
      <w:r w:rsidR="00CA22D5" w:rsidRPr="00AF3362">
        <w:t xml:space="preserve">(7), 567–573. </w:t>
      </w:r>
      <w:r w:rsidRPr="00AF3362">
        <w:t>doi: 10.1111/ajad.12788</w:t>
      </w:r>
    </w:p>
    <w:p w:rsidR="00A5195F" w:rsidRPr="00AF3362" w:rsidRDefault="00A5195F" w:rsidP="00A30ABA">
      <w:pPr>
        <w:spacing w:after="160" w:line="360" w:lineRule="auto"/>
        <w:ind w:hanging="720"/>
        <w:jc w:val="both"/>
      </w:pPr>
      <w:r w:rsidRPr="00AF3362">
        <w:t xml:space="preserve">Peralta, V., Cuesta, M. J. (1994). </w:t>
      </w:r>
      <w:r w:rsidRPr="00AF3362">
        <w:rPr>
          <w:lang w:val="en-US"/>
        </w:rPr>
        <w:t xml:space="preserve">Psychometric properties of the positive and negative syndrome scale (PANSS) in schizophrenia. </w:t>
      </w:r>
      <w:r w:rsidRPr="00AF3362">
        <w:rPr>
          <w:i/>
          <w:iCs/>
          <w:lang w:val="en-US"/>
        </w:rPr>
        <w:t>Psychiatry Research, 53</w:t>
      </w:r>
      <w:r w:rsidRPr="00AF3362">
        <w:rPr>
          <w:lang w:val="en-US"/>
        </w:rPr>
        <w:t>, 31-40.</w:t>
      </w:r>
    </w:p>
    <w:p w:rsidR="003E7904" w:rsidRPr="00AF3362" w:rsidRDefault="00BA0F84" w:rsidP="00F1261A">
      <w:pPr>
        <w:spacing w:after="160" w:line="360" w:lineRule="auto"/>
        <w:ind w:hanging="720"/>
        <w:jc w:val="both"/>
      </w:pPr>
      <w:r w:rsidRPr="00122C96">
        <w:t xml:space="preserve">Peters, B. D., Blaas, J., &amp; de Haan, L. (2010). </w:t>
      </w:r>
      <w:r w:rsidRPr="00AF3362">
        <w:t xml:space="preserve">Diffusion tensor imaging in the early phase of schizophrenia: What have we learned? </w:t>
      </w:r>
      <w:r w:rsidRPr="00AF3362">
        <w:rPr>
          <w:i/>
        </w:rPr>
        <w:t>Journal of Psychiatric Research</w:t>
      </w:r>
      <w:r w:rsidR="00CA22D5" w:rsidRPr="00AF3362">
        <w:rPr>
          <w:i/>
        </w:rPr>
        <w:t>,</w:t>
      </w:r>
      <w:r w:rsidRPr="00AF3362">
        <w:t xml:space="preserve"> </w:t>
      </w:r>
      <w:r w:rsidR="00CA22D5" w:rsidRPr="00AF3362">
        <w:rPr>
          <w:i/>
          <w:iCs/>
        </w:rPr>
        <w:t>44</w:t>
      </w:r>
      <w:r w:rsidR="00CA22D5" w:rsidRPr="00AF3362">
        <w:t xml:space="preserve">(15), 993–1004. </w:t>
      </w:r>
      <w:r w:rsidRPr="00AF3362">
        <w:t>doi: 10.1016/j.jpsychires.2010.05.003</w:t>
      </w:r>
    </w:p>
    <w:p w:rsidR="003E7904" w:rsidRPr="00AF3362" w:rsidRDefault="00BA0F84" w:rsidP="00F1261A">
      <w:pPr>
        <w:spacing w:after="160" w:line="360" w:lineRule="auto"/>
        <w:ind w:hanging="720"/>
        <w:jc w:val="both"/>
      </w:pPr>
      <w:r w:rsidRPr="00AF3362">
        <w:t xml:space="preserve">Parkar, S. R., Ramanathan, S., Nair, N., Batra, S. A., Adarkar, S. A., Kund, P., … Moghe, S. H. (2011). Are the effects of cannabis dependence on glucose metabolism similar to schizophrenia? An FDG PET understanding. </w:t>
      </w:r>
      <w:r w:rsidRPr="00AF3362">
        <w:rPr>
          <w:i/>
        </w:rPr>
        <w:t>Indian Journal of Psychiatry</w:t>
      </w:r>
      <w:r w:rsidR="00CA22D5" w:rsidRPr="00AF3362">
        <w:rPr>
          <w:i/>
        </w:rPr>
        <w:t>,</w:t>
      </w:r>
      <w:r w:rsidRPr="00AF3362">
        <w:t xml:space="preserve"> </w:t>
      </w:r>
      <w:r w:rsidR="00CA22D5" w:rsidRPr="00AF3362">
        <w:rPr>
          <w:i/>
          <w:iCs/>
        </w:rPr>
        <w:t>53</w:t>
      </w:r>
      <w:r w:rsidR="00CA22D5" w:rsidRPr="00AF3362">
        <w:t xml:space="preserve">(1), 13. </w:t>
      </w:r>
      <w:r w:rsidRPr="00AF3362">
        <w:t>doi: 10.4103/0019-5545.75552</w:t>
      </w:r>
    </w:p>
    <w:p w:rsidR="003E7904" w:rsidRPr="00AF3362" w:rsidRDefault="00BA0F84" w:rsidP="00F1261A">
      <w:pPr>
        <w:spacing w:after="160" w:line="360" w:lineRule="auto"/>
        <w:ind w:hanging="720"/>
        <w:jc w:val="both"/>
      </w:pPr>
      <w:r w:rsidRPr="00AF3362">
        <w:t xml:space="preserve">Rodríguez-Muñoz, M., Sánchez-Blázquez, P., Callado, L. F., Meana, J. J., &amp; Garzón-Niño, J. (2017). Schizophrenia and depression, two poles of endocannabinoid system deregulation. </w:t>
      </w:r>
      <w:r w:rsidRPr="00AF3362">
        <w:rPr>
          <w:i/>
        </w:rPr>
        <w:t>Translational Psychiatry</w:t>
      </w:r>
      <w:r w:rsidR="00CA22D5" w:rsidRPr="00AF3362">
        <w:t xml:space="preserve">, </w:t>
      </w:r>
      <w:r w:rsidR="00CA22D5" w:rsidRPr="00AF3362">
        <w:rPr>
          <w:i/>
          <w:iCs/>
        </w:rPr>
        <w:t>7</w:t>
      </w:r>
      <w:r w:rsidR="00CA22D5" w:rsidRPr="00AF3362">
        <w:t xml:space="preserve">(12), 1291. </w:t>
      </w:r>
      <w:r w:rsidRPr="00AF3362">
        <w:t>doi: 10.1038/s41398-017-0029-y</w:t>
      </w:r>
    </w:p>
    <w:p w:rsidR="003E7904" w:rsidRPr="00AF3362" w:rsidRDefault="00BA0F84" w:rsidP="00F1261A">
      <w:pPr>
        <w:spacing w:after="160" w:line="360" w:lineRule="auto"/>
        <w:ind w:hanging="720"/>
        <w:jc w:val="both"/>
      </w:pPr>
      <w:r w:rsidRPr="00AF3362">
        <w:t>Rojnic</w:t>
      </w:r>
      <w:r w:rsidR="00A30ABA" w:rsidRPr="00AF3362">
        <w:t>, M., Bosnjak</w:t>
      </w:r>
      <w:r w:rsidRPr="00AF3362">
        <w:t xml:space="preserve">, D., Ganoci, L., </w:t>
      </w:r>
      <w:r w:rsidR="00A30ABA" w:rsidRPr="00AF3362">
        <w:t>Makaric, P., Kekin, I., Rossini</w:t>
      </w:r>
      <w:r w:rsidRPr="00AF3362">
        <w:t xml:space="preserve">, L., … Bozina, N. (2019). Association of CNR1 genotypes with changes in neurocognitive performance after eighteen-month treatment in patients with first-episode psychosis. </w:t>
      </w:r>
      <w:r w:rsidRPr="00AF3362">
        <w:rPr>
          <w:i/>
        </w:rPr>
        <w:t>European Psychiatry</w:t>
      </w:r>
      <w:r w:rsidR="00CA22D5" w:rsidRPr="00AF3362">
        <w:t xml:space="preserve">, </w:t>
      </w:r>
      <w:r w:rsidR="00CA22D5" w:rsidRPr="00AF3362">
        <w:rPr>
          <w:i/>
          <w:iCs/>
        </w:rPr>
        <w:t>61</w:t>
      </w:r>
      <w:r w:rsidR="00CA22D5" w:rsidRPr="00AF3362">
        <w:t xml:space="preserve">, 88–96. </w:t>
      </w:r>
      <w:r w:rsidRPr="00AF3362">
        <w:t>doi: 10.1016/j.eurpsy.2019.07.004</w:t>
      </w:r>
    </w:p>
    <w:p w:rsidR="003E7904" w:rsidRPr="00AF3362" w:rsidRDefault="00BA0F84" w:rsidP="00F1261A">
      <w:pPr>
        <w:spacing w:after="160" w:line="360" w:lineRule="auto"/>
        <w:ind w:hanging="720"/>
        <w:jc w:val="both"/>
      </w:pPr>
      <w:r w:rsidRPr="00AF3362">
        <w:t xml:space="preserve">Sahu, P., Mudgal, J., Arora, D., Kinra, M., Mallik, S. B., Rao, C. M., … Nampoothiri, M. (2019). Cannabinoid receptor 2 activation mitigates lipopolysaccharide-induced neuroinflammation and sickness behavior in mice. </w:t>
      </w:r>
      <w:r w:rsidRPr="00AF3362">
        <w:rPr>
          <w:i/>
        </w:rPr>
        <w:t>Psychopharmacology</w:t>
      </w:r>
      <w:r w:rsidR="00CA22D5" w:rsidRPr="00AF3362">
        <w:t>,</w:t>
      </w:r>
      <w:r w:rsidRPr="00AF3362">
        <w:t xml:space="preserve"> </w:t>
      </w:r>
      <w:r w:rsidR="00CA22D5" w:rsidRPr="00AF3362">
        <w:rPr>
          <w:i/>
          <w:iCs/>
        </w:rPr>
        <w:t>236</w:t>
      </w:r>
      <w:r w:rsidR="00CA22D5" w:rsidRPr="00AF3362">
        <w:t xml:space="preserve">(6), 1829–1838. </w:t>
      </w:r>
      <w:r w:rsidRPr="00AF3362">
        <w:t>doi: 10.1007/s00213-019-5166-y</w:t>
      </w:r>
    </w:p>
    <w:p w:rsidR="003E7904" w:rsidRPr="00AF3362" w:rsidRDefault="00BA0F84" w:rsidP="00F1261A">
      <w:pPr>
        <w:spacing w:after="160" w:line="360" w:lineRule="auto"/>
        <w:ind w:hanging="720"/>
        <w:jc w:val="both"/>
      </w:pPr>
      <w:r w:rsidRPr="00AF3362">
        <w:t xml:space="preserve">Schacht, J. P., Selling, R. E., &amp; Hutchison, K. E. (2009). Intermediate cannabis dependence phenotypes and the FAAH C385A variant: An exploratory analysis. </w:t>
      </w:r>
      <w:r w:rsidRPr="00AF3362">
        <w:rPr>
          <w:i/>
        </w:rPr>
        <w:t>Psychopharmacology</w:t>
      </w:r>
      <w:r w:rsidR="00CA22D5" w:rsidRPr="00AF3362">
        <w:rPr>
          <w:i/>
        </w:rPr>
        <w:t>,</w:t>
      </w:r>
      <w:r w:rsidRPr="00AF3362">
        <w:t xml:space="preserve"> </w:t>
      </w:r>
      <w:r w:rsidR="00CA22D5" w:rsidRPr="00AF3362">
        <w:rPr>
          <w:i/>
          <w:iCs/>
        </w:rPr>
        <w:t>203</w:t>
      </w:r>
      <w:r w:rsidR="00CA22D5" w:rsidRPr="00AF3362">
        <w:t xml:space="preserve">(3), 511–517. </w:t>
      </w:r>
      <w:r w:rsidRPr="00AF3362">
        <w:t>doi: 10.1007/s00213-008-1397-z</w:t>
      </w:r>
    </w:p>
    <w:p w:rsidR="003E7904" w:rsidRPr="00AF3362" w:rsidRDefault="00BA0F84" w:rsidP="00F1261A">
      <w:pPr>
        <w:spacing w:after="160" w:line="360" w:lineRule="auto"/>
        <w:ind w:hanging="720"/>
        <w:jc w:val="both"/>
      </w:pPr>
      <w:r w:rsidRPr="00AF3362">
        <w:t xml:space="preserve">Seifert, J., Ossege, S., Emrich, H. M., Schneider, U., &amp; Stuhrmann, M. (2007). No association of CNR1 gene variations with susceptibility to schizophrenia. </w:t>
      </w:r>
      <w:r w:rsidRPr="00AF3362">
        <w:rPr>
          <w:i/>
        </w:rPr>
        <w:t>Neuroscience Letters</w:t>
      </w:r>
      <w:r w:rsidR="00CA22D5" w:rsidRPr="00AF3362">
        <w:t xml:space="preserve">, </w:t>
      </w:r>
      <w:r w:rsidR="00CA22D5" w:rsidRPr="00AF3362">
        <w:rPr>
          <w:i/>
          <w:iCs/>
        </w:rPr>
        <w:t>426</w:t>
      </w:r>
      <w:r w:rsidR="00CA22D5" w:rsidRPr="00AF3362">
        <w:t xml:space="preserve">(1), 29–33. </w:t>
      </w:r>
      <w:r w:rsidRPr="00AF3362">
        <w:t>doi: 10.1016/j.neulet.2007.08.008</w:t>
      </w:r>
    </w:p>
    <w:p w:rsidR="003E7904" w:rsidRPr="00AF3362" w:rsidRDefault="00BA0F84" w:rsidP="00F1261A">
      <w:pPr>
        <w:spacing w:after="160" w:line="360" w:lineRule="auto"/>
        <w:ind w:hanging="720"/>
        <w:jc w:val="both"/>
      </w:pPr>
      <w:r w:rsidRPr="00AF3362">
        <w:t xml:space="preserve">Sipe, J. C., Chiang, K., Gerber, A. L., Beutler, E., &amp; Cravatt, B. F. (2002). A missense mutation in human fatty acid amide hydrolase associated with problem drug use. </w:t>
      </w:r>
      <w:r w:rsidRPr="00AF3362">
        <w:rPr>
          <w:i/>
        </w:rPr>
        <w:t>Proceedings of the National Academy of Sciences of the United States of America</w:t>
      </w:r>
      <w:r w:rsidR="00CA22D5" w:rsidRPr="00AF3362">
        <w:rPr>
          <w:i/>
        </w:rPr>
        <w:t>,</w:t>
      </w:r>
      <w:r w:rsidRPr="00AF3362">
        <w:t xml:space="preserve"> </w:t>
      </w:r>
      <w:r w:rsidR="00CA22D5" w:rsidRPr="00AF3362">
        <w:rPr>
          <w:i/>
          <w:iCs/>
        </w:rPr>
        <w:t>99</w:t>
      </w:r>
      <w:r w:rsidR="00CA22D5" w:rsidRPr="00AF3362">
        <w:t xml:space="preserve">(12), 8394–8399. </w:t>
      </w:r>
      <w:r w:rsidRPr="00AF3362">
        <w:t>doi: 10.1073/pnas.082235799</w:t>
      </w:r>
    </w:p>
    <w:p w:rsidR="003E7904" w:rsidRPr="00AF3362" w:rsidRDefault="00BA0F84" w:rsidP="00F1261A">
      <w:pPr>
        <w:spacing w:after="160" w:line="360" w:lineRule="auto"/>
        <w:ind w:hanging="720"/>
        <w:jc w:val="both"/>
      </w:pPr>
      <w:r w:rsidRPr="00AF3362">
        <w:t>Tao, R., Li, C., Jaffe, A., Shin, J., Deep-Soboslay, A., Yamin, R.</w:t>
      </w:r>
      <w:r w:rsidR="00A30ABA" w:rsidRPr="00AF3362">
        <w:t xml:space="preserve"> …</w:t>
      </w:r>
      <w:r w:rsidRPr="00AF3362">
        <w:t>.</w:t>
      </w:r>
      <w:r w:rsidR="00A30ABA" w:rsidRPr="00AF3362">
        <w:t>,</w:t>
      </w:r>
      <w:r w:rsidRPr="00AF3362">
        <w:t xml:space="preserve"> </w:t>
      </w:r>
      <w:r w:rsidR="00A30ABA" w:rsidRPr="00AF3362">
        <w:t xml:space="preserve">&amp; Hyde, T.M. </w:t>
      </w:r>
      <w:r w:rsidRPr="00AF3362">
        <w:t>(2020). Cannabinoid receptor CNR1 expression and DNA methylation in human prefrontal cortex, hippocampus and caudate in brain development and schizophrenia. </w:t>
      </w:r>
      <w:r w:rsidRPr="00AF3362">
        <w:rPr>
          <w:i/>
        </w:rPr>
        <w:t>Translational Psychiatry</w:t>
      </w:r>
      <w:r w:rsidRPr="00AF3362">
        <w:t>, </w:t>
      </w:r>
      <w:r w:rsidR="00CA22D5" w:rsidRPr="00AF3362">
        <w:rPr>
          <w:i/>
          <w:iCs/>
        </w:rPr>
        <w:t>10</w:t>
      </w:r>
      <w:r w:rsidR="00CA22D5" w:rsidRPr="00AF3362">
        <w:t xml:space="preserve">(1), 158. </w:t>
      </w:r>
      <w:r w:rsidRPr="00AF3362">
        <w:t>doi: 10.1038/s41398-020-0832-8</w:t>
      </w:r>
    </w:p>
    <w:p w:rsidR="003E7904" w:rsidRPr="00AF3362" w:rsidRDefault="00BA0F84" w:rsidP="00F1261A">
      <w:pPr>
        <w:spacing w:after="160" w:line="360" w:lineRule="auto"/>
        <w:ind w:hanging="720"/>
        <w:jc w:val="both"/>
      </w:pPr>
      <w:r w:rsidRPr="00AF3362">
        <w:t xml:space="preserve">Tong, D., He, S., Wang, L., Jin, L., Si, P., &amp; Cheng, X. (2013). Association of single-nucleotide polymorphisms in the cannabinoid receptor 2 gene with schizophrenia in the Han Chinese population. </w:t>
      </w:r>
      <w:r w:rsidRPr="00AF3362">
        <w:rPr>
          <w:i/>
        </w:rPr>
        <w:t>Journal of Molecular Neuroscience</w:t>
      </w:r>
      <w:r w:rsidR="00CA22D5" w:rsidRPr="00AF3362">
        <w:t>,</w:t>
      </w:r>
      <w:r w:rsidRPr="00AF3362">
        <w:t xml:space="preserve"> </w:t>
      </w:r>
      <w:r w:rsidR="00CA22D5" w:rsidRPr="00AF3362">
        <w:rPr>
          <w:i/>
          <w:iCs/>
        </w:rPr>
        <w:t>51</w:t>
      </w:r>
      <w:r w:rsidR="00CA22D5" w:rsidRPr="00AF3362">
        <w:t xml:space="preserve">(2), 454–460. </w:t>
      </w:r>
      <w:r w:rsidRPr="00AF3362">
        <w:t>doi: 10.1007/s12031-013-0062-0</w:t>
      </w:r>
    </w:p>
    <w:p w:rsidR="003E7904" w:rsidRPr="00AF3362" w:rsidRDefault="00BA0F84" w:rsidP="00F1261A">
      <w:pPr>
        <w:spacing w:after="160" w:line="360" w:lineRule="auto"/>
        <w:ind w:hanging="720"/>
        <w:jc w:val="both"/>
      </w:pPr>
      <w:r w:rsidRPr="00AF3362">
        <w:t xml:space="preserve">Tsai, S. J., Wang, Y. C., &amp; Hong, C. J. (2000). Association study of a cannabinoid receptor gene (CNR1) polymorphism and schizophrenia. </w:t>
      </w:r>
      <w:r w:rsidRPr="00AF3362">
        <w:rPr>
          <w:i/>
        </w:rPr>
        <w:t>Psychiatric Genetics</w:t>
      </w:r>
      <w:r w:rsidR="00CA22D5" w:rsidRPr="00AF3362">
        <w:rPr>
          <w:i/>
        </w:rPr>
        <w:t>,</w:t>
      </w:r>
      <w:r w:rsidRPr="00AF3362">
        <w:t xml:space="preserve"> </w:t>
      </w:r>
      <w:r w:rsidR="00CA22D5" w:rsidRPr="00AF3362">
        <w:rPr>
          <w:i/>
          <w:iCs/>
        </w:rPr>
        <w:t>10</w:t>
      </w:r>
      <w:r w:rsidR="00CA22D5" w:rsidRPr="00AF3362">
        <w:t xml:space="preserve">(3), 149–151. </w:t>
      </w:r>
      <w:r w:rsidRPr="00AF3362">
        <w:t>doi: 10.1097/00041444-200010030-00008</w:t>
      </w:r>
    </w:p>
    <w:p w:rsidR="003E7904" w:rsidRPr="00AF3362" w:rsidRDefault="00BA0F84" w:rsidP="00F1261A">
      <w:pPr>
        <w:spacing w:after="160" w:line="360" w:lineRule="auto"/>
        <w:ind w:hanging="720"/>
        <w:jc w:val="both"/>
      </w:pPr>
      <w:r w:rsidRPr="00AF3362">
        <w:t xml:space="preserve">Tyndale, R. F., Payne, J. I., Gerber, A. L., &amp; Sipe, J. C. (2007). The fatty acid amide hydrolase C385A (P129T) missense variant in cannabis users: Studies of drug use and dependence in caucasians. </w:t>
      </w:r>
      <w:r w:rsidRPr="00AF3362">
        <w:rPr>
          <w:i/>
        </w:rPr>
        <w:t>American Journal of Medical Genetics, Part B: Neuropsychiatric Genetics</w:t>
      </w:r>
      <w:r w:rsidR="00CA22D5" w:rsidRPr="00AF3362">
        <w:rPr>
          <w:i/>
        </w:rPr>
        <w:t>,</w:t>
      </w:r>
      <w:r w:rsidRPr="00AF3362">
        <w:t xml:space="preserve"> </w:t>
      </w:r>
      <w:r w:rsidR="00CA22D5" w:rsidRPr="00AF3362">
        <w:rPr>
          <w:i/>
          <w:iCs/>
        </w:rPr>
        <w:t>144B</w:t>
      </w:r>
      <w:r w:rsidR="00CA22D5" w:rsidRPr="00AF3362">
        <w:t xml:space="preserve">(5), 660–666. </w:t>
      </w:r>
      <w:r w:rsidRPr="00AF3362">
        <w:t>doi: 10.1002/ajmg.b.30491</w:t>
      </w:r>
    </w:p>
    <w:p w:rsidR="003E7904" w:rsidRPr="00AF3362" w:rsidRDefault="00BA0F84" w:rsidP="00F1261A">
      <w:pPr>
        <w:spacing w:after="160" w:line="360" w:lineRule="auto"/>
        <w:ind w:hanging="720"/>
        <w:jc w:val="both"/>
      </w:pPr>
      <w:r w:rsidRPr="00AF3362">
        <w:t xml:space="preserve">Ujike, H., Takaki, M., Nakata, K., Tanaka, Y., Takeda, T., Kodama, M., … Kuroda, S. (2002). CNR1, central cannabinoid receptor gene, associated with susceptibility to hebephrenic schizophrenia. </w:t>
      </w:r>
      <w:r w:rsidRPr="00AF3362">
        <w:rPr>
          <w:i/>
        </w:rPr>
        <w:t>Molecular Psychiatry</w:t>
      </w:r>
      <w:r w:rsidR="00CA22D5" w:rsidRPr="00AF3362">
        <w:rPr>
          <w:i/>
        </w:rPr>
        <w:t>,</w:t>
      </w:r>
      <w:r w:rsidRPr="00AF3362">
        <w:t xml:space="preserve"> </w:t>
      </w:r>
      <w:r w:rsidR="00CA22D5" w:rsidRPr="00AF3362">
        <w:rPr>
          <w:i/>
          <w:iCs/>
        </w:rPr>
        <w:t>7</w:t>
      </w:r>
      <w:r w:rsidR="00CA22D5" w:rsidRPr="00AF3362">
        <w:t xml:space="preserve">(5), 515–518. </w:t>
      </w:r>
      <w:r w:rsidRPr="00AF3362">
        <w:t>doi: 10.1038/sj.mp.4001029</w:t>
      </w:r>
    </w:p>
    <w:p w:rsidR="003E7904" w:rsidRPr="00AF3362" w:rsidRDefault="00BA0F84" w:rsidP="00F1261A">
      <w:pPr>
        <w:spacing w:after="160" w:line="360" w:lineRule="auto"/>
        <w:ind w:hanging="720"/>
        <w:jc w:val="both"/>
      </w:pPr>
      <w:r w:rsidRPr="00AF3362">
        <w:t xml:space="preserve">Xi, Z. X., Peng, X. Q., Li, X., Song, R., Zhang, H. Y., Liu, Q. R., … Gardner, E. L. (2011). Brain cannabinoid CB2 receptors modulate cocaine’s actions in mice. </w:t>
      </w:r>
      <w:r w:rsidRPr="00AF3362">
        <w:rPr>
          <w:i/>
        </w:rPr>
        <w:t>Nature Neuroscience</w:t>
      </w:r>
      <w:r w:rsidR="00CA22D5" w:rsidRPr="00AF3362">
        <w:rPr>
          <w:i/>
        </w:rPr>
        <w:t>,</w:t>
      </w:r>
      <w:r w:rsidRPr="00AF3362">
        <w:t xml:space="preserve"> </w:t>
      </w:r>
      <w:r w:rsidR="00CA22D5" w:rsidRPr="00AF3362">
        <w:rPr>
          <w:i/>
          <w:iCs/>
        </w:rPr>
        <w:t>14</w:t>
      </w:r>
      <w:r w:rsidR="00CA22D5" w:rsidRPr="00AF3362">
        <w:t xml:space="preserve">(9), 1160–1166. </w:t>
      </w:r>
      <w:r w:rsidRPr="00AF3362">
        <w:t>doi: 10.1038/nn.2874</w:t>
      </w:r>
    </w:p>
    <w:p w:rsidR="003E7904" w:rsidRPr="00AF3362" w:rsidRDefault="00BA0F84" w:rsidP="00F1261A">
      <w:pPr>
        <w:spacing w:after="160" w:line="360" w:lineRule="auto"/>
        <w:ind w:hanging="720"/>
        <w:jc w:val="both"/>
      </w:pPr>
      <w:r w:rsidRPr="00AF3362">
        <w:t xml:space="preserve">Van Hell, H. H., Jager, G., Bossong, M. G., Brouwer, A., Jansma, J. M., Zuurman, L., … Ramsey, N. F. (2012). Involvement of the endocannabinoid system in reward processing in the human brain. </w:t>
      </w:r>
      <w:r w:rsidRPr="00AF3362">
        <w:rPr>
          <w:i/>
        </w:rPr>
        <w:t>Psychopharmacology</w:t>
      </w:r>
      <w:r w:rsidR="00CA22D5" w:rsidRPr="00AF3362">
        <w:rPr>
          <w:i/>
        </w:rPr>
        <w:t>,</w:t>
      </w:r>
      <w:r w:rsidRPr="00AF3362">
        <w:t xml:space="preserve"> </w:t>
      </w:r>
      <w:r w:rsidR="00CA22D5" w:rsidRPr="00AF3362">
        <w:rPr>
          <w:i/>
          <w:iCs/>
        </w:rPr>
        <w:t>219</w:t>
      </w:r>
      <w:r w:rsidR="00CA22D5" w:rsidRPr="00AF3362">
        <w:t xml:space="preserve">(4), 981–990. </w:t>
      </w:r>
      <w:r w:rsidRPr="00AF3362">
        <w:t>doi: 10.1007/s00213-011-2428-8</w:t>
      </w:r>
    </w:p>
    <w:p w:rsidR="003E7904" w:rsidRPr="00AF3362" w:rsidRDefault="00BA0F84" w:rsidP="00F1261A">
      <w:pPr>
        <w:spacing w:after="160" w:line="360" w:lineRule="auto"/>
        <w:ind w:hanging="720"/>
        <w:jc w:val="both"/>
      </w:pPr>
      <w:r w:rsidRPr="00AF3362">
        <w:t xml:space="preserve">Watts, J. J., Jacobson, M. R., Lalang, N., Boileau, I., Tyndale, R. F., Kiang, M., … Mizrahi, R. (2020). Imaging Brain Fatty Acid Amide Hydrolase in Untreated Patients With Psychosis. </w:t>
      </w:r>
      <w:r w:rsidRPr="00AF3362">
        <w:rPr>
          <w:i/>
        </w:rPr>
        <w:t>Biological Psychiatry</w:t>
      </w:r>
      <w:r w:rsidR="00CA22D5" w:rsidRPr="00AF3362">
        <w:rPr>
          <w:i/>
        </w:rPr>
        <w:t xml:space="preserve">, </w:t>
      </w:r>
      <w:r w:rsidR="00CA22D5" w:rsidRPr="00AF3362">
        <w:rPr>
          <w:i/>
          <w:iCs/>
        </w:rPr>
        <w:t>S0006-3223</w:t>
      </w:r>
      <w:r w:rsidR="00CA22D5" w:rsidRPr="00AF3362">
        <w:rPr>
          <w:iCs/>
        </w:rPr>
        <w:t>(20)31299-3</w:t>
      </w:r>
      <w:r w:rsidR="00CA22D5" w:rsidRPr="00AF3362">
        <w:t xml:space="preserve">. </w:t>
      </w:r>
      <w:r w:rsidRPr="00AF3362">
        <w:t>doi: 10.1016/j.biopsych.2020.03.003</w:t>
      </w:r>
    </w:p>
    <w:p w:rsidR="003E7904" w:rsidRPr="00AF3362" w:rsidRDefault="00BA0F84" w:rsidP="00F1261A">
      <w:pPr>
        <w:spacing w:after="160" w:line="360" w:lineRule="auto"/>
        <w:ind w:hanging="720"/>
        <w:jc w:val="both"/>
      </w:pPr>
      <w:r w:rsidRPr="00AF3362">
        <w:t>Zammit, S., Spurlock, G., Williams, H., Norton, N., Williams, N., O’Donovan, M. C., ... Owen, M. J. (2007). Genotype effects of CHRNA7, CNRI and COMT in schizophrenia: Interactions with tobacco and cannabis use.</w:t>
      </w:r>
      <w:r w:rsidR="00CA22D5" w:rsidRPr="00AF3362">
        <w:rPr>
          <w:i/>
        </w:rPr>
        <w:t xml:space="preserve"> British Journal of Psychiatry,</w:t>
      </w:r>
      <w:r w:rsidRPr="00AF3362">
        <w:rPr>
          <w:i/>
        </w:rPr>
        <w:t xml:space="preserve"> </w:t>
      </w:r>
      <w:r w:rsidR="00CA22D5" w:rsidRPr="00AF3362">
        <w:rPr>
          <w:i/>
          <w:iCs/>
        </w:rPr>
        <w:t>191</w:t>
      </w:r>
      <w:r w:rsidR="00CA22D5" w:rsidRPr="00AF3362">
        <w:t xml:space="preserve">(5), 402–407. </w:t>
      </w:r>
      <w:r w:rsidRPr="00AF3362">
        <w:t>doi: 10.1192/bjp.bp.107.036129</w:t>
      </w:r>
    </w:p>
    <w:p w:rsidR="003E7904" w:rsidRPr="00AF3362" w:rsidRDefault="00BA0F84" w:rsidP="00F1261A">
      <w:pPr>
        <w:spacing w:after="160" w:line="360" w:lineRule="auto"/>
        <w:ind w:hanging="720"/>
        <w:jc w:val="both"/>
      </w:pPr>
      <w:r w:rsidRPr="00AF3362">
        <w:t>Zhang, W., Liu, H., Deng, X., Ma, Y., &amp; Liu, Y. (2020). FAAH levels and its genetic polymorphism association with susceptibility to methamphetamine dependence. </w:t>
      </w:r>
      <w:r w:rsidRPr="00AF3362">
        <w:rPr>
          <w:i/>
        </w:rPr>
        <w:t xml:space="preserve">Annals </w:t>
      </w:r>
      <w:r w:rsidR="007E0BAA" w:rsidRPr="00AF3362">
        <w:rPr>
          <w:i/>
        </w:rPr>
        <w:t>o</w:t>
      </w:r>
      <w:r w:rsidRPr="00AF3362">
        <w:rPr>
          <w:i/>
        </w:rPr>
        <w:t>f Human Genetics</w:t>
      </w:r>
      <w:r w:rsidRPr="00AF3362">
        <w:t>, </w:t>
      </w:r>
      <w:r w:rsidRPr="00AF3362">
        <w:rPr>
          <w:i/>
        </w:rPr>
        <w:t>84</w:t>
      </w:r>
      <w:r w:rsidRPr="00AF3362">
        <w:t>(3), 259-270. doi: 10.1111/ahg.12368</w:t>
      </w:r>
    </w:p>
    <w:p w:rsidR="0024011C" w:rsidRPr="00AF3362" w:rsidRDefault="0024011C" w:rsidP="00F1261A">
      <w:pPr>
        <w:ind w:hanging="720"/>
        <w:rPr>
          <w:b/>
        </w:rPr>
      </w:pPr>
      <w:r w:rsidRPr="00AF3362">
        <w:rPr>
          <w:b/>
        </w:rPr>
        <w:br w:type="page"/>
      </w:r>
    </w:p>
    <w:p w:rsidR="007E0BAA" w:rsidRPr="00AF3362" w:rsidRDefault="007E0BAA" w:rsidP="00F1261A">
      <w:pPr>
        <w:ind w:hanging="720"/>
        <w:rPr>
          <w:b/>
        </w:rPr>
      </w:pPr>
      <w:r w:rsidRPr="00AF3362">
        <w:rPr>
          <w:rFonts w:eastAsia="Calibri"/>
        </w:rPr>
        <w:t xml:space="preserve">Table 1. Primers and techniques used for sample analysis.  </w:t>
      </w:r>
    </w:p>
    <w:p w:rsidR="007E0BAA" w:rsidRPr="00AF3362" w:rsidRDefault="007E0BAA" w:rsidP="00F1261A">
      <w:pPr>
        <w:ind w:hanging="720"/>
      </w:pPr>
    </w:p>
    <w:tbl>
      <w:tblPr>
        <w:tblStyle w:val="a5"/>
        <w:tblW w:w="9039" w:type="dxa"/>
        <w:tblInd w:w="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559"/>
        <w:gridCol w:w="3969"/>
        <w:gridCol w:w="2694"/>
      </w:tblGrid>
      <w:tr w:rsidR="00AF3362" w:rsidRPr="00AF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4011C" w:rsidRPr="00AF3362" w:rsidRDefault="00BA0F84" w:rsidP="00160BCE">
            <w:pPr>
              <w:rPr>
                <w:rFonts w:ascii="Calibri" w:eastAsia="Calibri" w:hAnsi="Calibri" w:cs="Calibri"/>
                <w:color w:val="auto"/>
              </w:rPr>
            </w:pPr>
            <w:r w:rsidRPr="00AF3362">
              <w:rPr>
                <w:color w:val="auto"/>
              </w:rPr>
              <w:br w:type="page"/>
            </w:r>
            <w:r w:rsidR="0024011C" w:rsidRPr="00AF3362">
              <w:rPr>
                <w:color w:val="auto"/>
              </w:rPr>
              <w:br w:type="page"/>
            </w:r>
            <w:r w:rsidR="0024011C" w:rsidRPr="00AF3362">
              <w:rPr>
                <w:rFonts w:ascii="Calibri" w:eastAsia="Calibri" w:hAnsi="Calibri" w:cs="Calibri"/>
                <w:color w:val="auto"/>
              </w:rPr>
              <w:t xml:space="preserve">Gene </w:t>
            </w:r>
          </w:p>
        </w:tc>
        <w:tc>
          <w:tcPr>
            <w:tcW w:w="1559" w:type="dxa"/>
          </w:tcPr>
          <w:p w:rsidR="0024011C" w:rsidRPr="00AF3362" w:rsidRDefault="0024011C" w:rsidP="00160BC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Polymorphism</w:t>
            </w:r>
          </w:p>
        </w:tc>
        <w:tc>
          <w:tcPr>
            <w:tcW w:w="3969" w:type="dxa"/>
          </w:tcPr>
          <w:p w:rsidR="0024011C" w:rsidRPr="00AF3362" w:rsidRDefault="0024011C" w:rsidP="00160BC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Primer 5`</w:t>
            </w:r>
            <w:r w:rsidR="002C4823" w:rsidRPr="00AF3362">
              <w:rPr>
                <w:rFonts w:ascii="Wingdings" w:eastAsia="Wingdings" w:hAnsi="Wingdings" w:cs="Wingdings"/>
                <w:color w:val="auto"/>
              </w:rPr>
              <w:t></w:t>
            </w:r>
            <w:r w:rsidRPr="00AF3362">
              <w:rPr>
                <w:rFonts w:ascii="Calibri" w:eastAsia="Calibri" w:hAnsi="Calibri" w:cs="Calibri"/>
                <w:color w:val="auto"/>
              </w:rPr>
              <w:t>3`</w:t>
            </w:r>
          </w:p>
        </w:tc>
        <w:tc>
          <w:tcPr>
            <w:tcW w:w="2694" w:type="dxa"/>
          </w:tcPr>
          <w:p w:rsidR="0024011C" w:rsidRPr="00AF3362" w:rsidRDefault="0024011C" w:rsidP="00160BC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Techniques </w:t>
            </w:r>
          </w:p>
        </w:tc>
      </w:tr>
      <w:tr w:rsidR="00AF3362" w:rsidRPr="00AF3362">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817" w:type="dxa"/>
          </w:tcPr>
          <w:p w:rsidR="0024011C" w:rsidRPr="00AF3362" w:rsidRDefault="0024011C" w:rsidP="00160BCE">
            <w:pPr>
              <w:jc w:val="center"/>
              <w:rPr>
                <w:rFonts w:ascii="Calibri" w:eastAsia="Calibri" w:hAnsi="Calibri" w:cs="Calibri"/>
                <w:i/>
                <w:color w:val="auto"/>
              </w:rPr>
            </w:pPr>
            <w:r w:rsidRPr="00AF3362">
              <w:rPr>
                <w:rFonts w:ascii="Calibri" w:eastAsia="Calibri" w:hAnsi="Calibri" w:cs="Calibri"/>
                <w:i/>
                <w:color w:val="auto"/>
              </w:rPr>
              <w:t>CNR1</w:t>
            </w:r>
          </w:p>
        </w:tc>
        <w:tc>
          <w:tcPr>
            <w:tcW w:w="1559" w:type="dxa"/>
            <w:shd w:val="clear" w:color="auto" w:fill="FFFFFF"/>
          </w:tcPr>
          <w:p w:rsidR="0024011C" w:rsidRPr="00AF3362" w:rsidRDefault="0024011C" w:rsidP="00160BC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(AAT)n</w:t>
            </w:r>
          </w:p>
        </w:tc>
        <w:tc>
          <w:tcPr>
            <w:tcW w:w="3969" w:type="dxa"/>
            <w:shd w:val="clear" w:color="auto" w:fill="FFFFFF"/>
          </w:tcPr>
          <w:p w:rsidR="0024011C" w:rsidRPr="00AF3362"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A: 5’ GCTGCTTCTGTTAACCCTGC 3’ </w:t>
            </w:r>
          </w:p>
          <w:p w:rsidR="0024011C" w:rsidRPr="00AF3362"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B: 5’ ATTCCCACCTATGAGTGAGAAC 3’</w:t>
            </w:r>
          </w:p>
        </w:tc>
        <w:tc>
          <w:tcPr>
            <w:tcW w:w="2694" w:type="dxa"/>
            <w:shd w:val="clear" w:color="auto" w:fill="FFFFFF"/>
          </w:tcPr>
          <w:p w:rsidR="0024011C" w:rsidRPr="00AF3362" w:rsidRDefault="0024011C" w:rsidP="00160BC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Capillary electrophoresis fragment analysis ABI Prism 310 Genetic Analyzer - Applied Biosystems)</w:t>
            </w:r>
          </w:p>
        </w:tc>
      </w:tr>
      <w:tr w:rsidR="00AF3362" w:rsidRPr="00AF3362">
        <w:trPr>
          <w:trHeight w:val="293"/>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FBFBF"/>
          </w:tcPr>
          <w:p w:rsidR="0024011C" w:rsidRPr="00AF3362" w:rsidRDefault="0024011C" w:rsidP="00160BCE">
            <w:pPr>
              <w:jc w:val="center"/>
              <w:rPr>
                <w:rFonts w:ascii="Calibri" w:eastAsia="Calibri" w:hAnsi="Calibri" w:cs="Calibri"/>
                <w:i/>
                <w:color w:val="auto"/>
              </w:rPr>
            </w:pPr>
            <w:r w:rsidRPr="00AF3362">
              <w:rPr>
                <w:rFonts w:ascii="Calibri" w:eastAsia="Calibri" w:hAnsi="Calibri" w:cs="Calibri"/>
                <w:i/>
                <w:color w:val="auto"/>
              </w:rPr>
              <w:t>CNR2</w:t>
            </w:r>
          </w:p>
        </w:tc>
        <w:tc>
          <w:tcPr>
            <w:tcW w:w="1559" w:type="dxa"/>
            <w:vMerge w:val="restart"/>
            <w:shd w:val="clear" w:color="auto" w:fill="FFFFFF"/>
          </w:tcPr>
          <w:p w:rsidR="0024011C" w:rsidRPr="00AF3362" w:rsidRDefault="0024011C" w:rsidP="00160BC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rs35761398</w:t>
            </w:r>
          </w:p>
        </w:tc>
        <w:tc>
          <w:tcPr>
            <w:tcW w:w="3969" w:type="dxa"/>
            <w:vMerge w:val="restart"/>
            <w:shd w:val="clear" w:color="auto" w:fill="FFFFFF"/>
          </w:tcPr>
          <w:p w:rsidR="0024011C" w:rsidRPr="00AF3362" w:rsidRDefault="0024011C" w:rsidP="00160BC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   5' AAGACCACACTGGCCAGGAAG 3'</w:t>
            </w:r>
          </w:p>
          <w:p w:rsidR="0024011C" w:rsidRPr="00AF3362" w:rsidRDefault="0024011C" w:rsidP="00160BC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B:   5' CACTCTTCTGGGCCTGCTAAG 3'</w:t>
            </w:r>
          </w:p>
        </w:tc>
        <w:tc>
          <w:tcPr>
            <w:tcW w:w="2694" w:type="dxa"/>
            <w:vMerge w:val="restart"/>
            <w:shd w:val="clear" w:color="auto" w:fill="FFFFFF"/>
          </w:tcPr>
          <w:p w:rsidR="0024011C" w:rsidRPr="00AF3362" w:rsidRDefault="0024011C" w:rsidP="00160BC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Allelic discrimination with TaqMan probes in an iCycler Thermal Cycler (Bio-Rad)</w:t>
            </w:r>
          </w:p>
        </w:tc>
      </w:tr>
      <w:tr w:rsidR="00AF3362" w:rsidRPr="00AF336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FBFBF"/>
          </w:tcPr>
          <w:p w:rsidR="0024011C" w:rsidRPr="00AF3362" w:rsidRDefault="0024011C" w:rsidP="00160BCE">
            <w:pPr>
              <w:widowControl w:val="0"/>
              <w:pBdr>
                <w:top w:val="nil"/>
                <w:left w:val="nil"/>
                <w:bottom w:val="nil"/>
                <w:right w:val="nil"/>
                <w:between w:val="nil"/>
              </w:pBdr>
              <w:spacing w:line="276" w:lineRule="auto"/>
              <w:rPr>
                <w:rFonts w:ascii="Calibri" w:eastAsia="Calibri" w:hAnsi="Calibri" w:cs="Calibri"/>
                <w:color w:val="auto"/>
              </w:rPr>
            </w:pPr>
          </w:p>
        </w:tc>
        <w:tc>
          <w:tcPr>
            <w:tcW w:w="155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396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2694"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r>
      <w:tr w:rsidR="00AF3362" w:rsidRPr="00AF3362">
        <w:tc>
          <w:tcPr>
            <w:cnfStyle w:val="001000000000" w:firstRow="0" w:lastRow="0" w:firstColumn="1" w:lastColumn="0" w:oddVBand="0" w:evenVBand="0" w:oddHBand="0" w:evenHBand="0" w:firstRowFirstColumn="0" w:firstRowLastColumn="0" w:lastRowFirstColumn="0" w:lastRowLastColumn="0"/>
            <w:tcW w:w="817" w:type="dxa"/>
            <w:vMerge/>
            <w:shd w:val="clear" w:color="auto" w:fill="BFBFBF"/>
          </w:tcPr>
          <w:p w:rsidR="0024011C" w:rsidRPr="00AF3362" w:rsidRDefault="0024011C" w:rsidP="00160BCE">
            <w:pPr>
              <w:widowControl w:val="0"/>
              <w:pBdr>
                <w:top w:val="nil"/>
                <w:left w:val="nil"/>
                <w:bottom w:val="nil"/>
                <w:right w:val="nil"/>
                <w:between w:val="nil"/>
              </w:pBdr>
              <w:spacing w:line="276" w:lineRule="auto"/>
              <w:rPr>
                <w:rFonts w:ascii="Calibri" w:eastAsia="Calibri" w:hAnsi="Calibri" w:cs="Calibri"/>
                <w:color w:val="auto"/>
              </w:rPr>
            </w:pPr>
          </w:p>
        </w:tc>
        <w:tc>
          <w:tcPr>
            <w:tcW w:w="155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396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2694" w:type="dxa"/>
            <w:shd w:val="clear" w:color="auto" w:fill="FFFFFF"/>
          </w:tcPr>
          <w:p w:rsidR="0024011C" w:rsidRPr="00AF3362" w:rsidRDefault="0024011C" w:rsidP="00160BC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SSCP</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BFBFBF"/>
          </w:tcPr>
          <w:p w:rsidR="0024011C" w:rsidRPr="00AF3362" w:rsidRDefault="0024011C" w:rsidP="00160BCE">
            <w:pPr>
              <w:jc w:val="center"/>
              <w:rPr>
                <w:rFonts w:ascii="Calibri" w:eastAsia="Calibri" w:hAnsi="Calibri" w:cs="Calibri"/>
                <w:i/>
                <w:color w:val="auto"/>
              </w:rPr>
            </w:pPr>
            <w:r w:rsidRPr="00AF3362">
              <w:rPr>
                <w:rFonts w:ascii="Calibri" w:eastAsia="Calibri" w:hAnsi="Calibri" w:cs="Calibri"/>
                <w:i/>
                <w:color w:val="auto"/>
              </w:rPr>
              <w:t>FAAH</w:t>
            </w:r>
          </w:p>
        </w:tc>
        <w:tc>
          <w:tcPr>
            <w:tcW w:w="1559" w:type="dxa"/>
            <w:shd w:val="clear" w:color="auto" w:fill="FFFFFF"/>
          </w:tcPr>
          <w:p w:rsidR="0024011C" w:rsidRPr="00AF3362" w:rsidRDefault="0024011C" w:rsidP="00160BC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rs324420</w:t>
            </w:r>
          </w:p>
        </w:tc>
        <w:tc>
          <w:tcPr>
            <w:tcW w:w="3969" w:type="dxa"/>
            <w:shd w:val="clear" w:color="auto" w:fill="FFFFFF"/>
          </w:tcPr>
          <w:p w:rsidR="0024011C" w:rsidRPr="00AF3362"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 5' GGCCAGCCTCCTTTTATCTTATG 3'</w:t>
            </w:r>
          </w:p>
          <w:p w:rsidR="0024011C" w:rsidRPr="00AF3362"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B: 5'GACGATGGAGGCCTGGCGA 3'</w:t>
            </w:r>
          </w:p>
        </w:tc>
        <w:tc>
          <w:tcPr>
            <w:tcW w:w="2694" w:type="dxa"/>
            <w:shd w:val="clear" w:color="auto" w:fill="FFFFFF"/>
          </w:tcPr>
          <w:p w:rsidR="0024011C" w:rsidRPr="00AF3362" w:rsidRDefault="0024011C" w:rsidP="00160BC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SSCP (GeneGel Excel 12.5/24 Kit, GE Healthcare)</w:t>
            </w:r>
          </w:p>
        </w:tc>
      </w:tr>
    </w:tbl>
    <w:p w:rsidR="003E7904" w:rsidRPr="00AF3362" w:rsidRDefault="0024011C" w:rsidP="00EA3122">
      <w:pPr>
        <w:spacing w:after="160" w:line="259" w:lineRule="auto"/>
      </w:pPr>
      <w:r w:rsidRPr="00AF3362">
        <w:rPr>
          <w:rFonts w:ascii="Calibri" w:eastAsia="Calibri" w:hAnsi="Calibri" w:cs="Calibri"/>
          <w:sz w:val="22"/>
          <w:szCs w:val="22"/>
        </w:rPr>
        <w:t xml:space="preserve">Single Strand Conformation </w:t>
      </w:r>
      <w:r w:rsidR="00EA3122" w:rsidRPr="00AF3362">
        <w:rPr>
          <w:rFonts w:ascii="Calibri" w:eastAsia="Calibri" w:hAnsi="Calibri" w:cs="Calibri"/>
          <w:sz w:val="22"/>
          <w:szCs w:val="22"/>
        </w:rPr>
        <w:t>P</w:t>
      </w:r>
      <w:r w:rsidRPr="00AF3362">
        <w:rPr>
          <w:rFonts w:ascii="Calibri" w:eastAsia="Calibri" w:hAnsi="Calibri" w:cs="Calibri"/>
          <w:sz w:val="22"/>
          <w:szCs w:val="22"/>
        </w:rPr>
        <w:t xml:space="preserve">olymorphism (SSCP). </w:t>
      </w:r>
    </w:p>
    <w:p w:rsidR="00EA3122" w:rsidRPr="00AF3362" w:rsidRDefault="0024011C" w:rsidP="00EA3122">
      <w:pPr>
        <w:suppressAutoHyphens w:val="0"/>
      </w:pPr>
      <w:r w:rsidRPr="00AF3362">
        <w:br w:type="page"/>
      </w:r>
    </w:p>
    <w:p w:rsidR="0024011C" w:rsidRPr="00AF3362" w:rsidRDefault="00EA3122" w:rsidP="00EA3122">
      <w:pPr>
        <w:suppressAutoHyphens w:val="0"/>
        <w:rPr>
          <w:rFonts w:eastAsia="Arial"/>
        </w:rPr>
      </w:pPr>
      <w:r w:rsidRPr="00AF3362">
        <w:rPr>
          <w:rFonts w:eastAsia="Arial"/>
          <w:b/>
        </w:rPr>
        <w:t>T</w:t>
      </w:r>
      <w:r w:rsidR="002C4823" w:rsidRPr="00AF3362">
        <w:rPr>
          <w:rFonts w:eastAsia="Arial"/>
          <w:b/>
        </w:rPr>
        <w:t xml:space="preserve">able 2. </w:t>
      </w:r>
      <w:r w:rsidR="002C4823" w:rsidRPr="00AF3362">
        <w:rPr>
          <w:rFonts w:eastAsia="Arial"/>
        </w:rPr>
        <w:t>Hardy-Weinberg equilibrium</w:t>
      </w:r>
      <w:r w:rsidR="002C4823" w:rsidRPr="00AF3362">
        <w:rPr>
          <w:rFonts w:eastAsia="Arial"/>
          <w:b/>
        </w:rPr>
        <w:t>.</w:t>
      </w:r>
    </w:p>
    <w:tbl>
      <w:tblPr>
        <w:tblStyle w:val="a6"/>
        <w:tblW w:w="850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2"/>
        <w:gridCol w:w="1720"/>
        <w:gridCol w:w="1702"/>
        <w:gridCol w:w="1695"/>
        <w:gridCol w:w="1695"/>
      </w:tblGrid>
      <w:tr w:rsidR="00AF3362" w:rsidRPr="00AF3362">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GENE</w:t>
            </w:r>
          </w:p>
        </w:tc>
        <w:tc>
          <w:tcPr>
            <w:tcW w:w="1720" w:type="dxa"/>
          </w:tcPr>
          <w:p w:rsidR="0024011C" w:rsidRPr="00AF3362"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Polymorphism</w:t>
            </w:r>
          </w:p>
        </w:tc>
        <w:tc>
          <w:tcPr>
            <w:tcW w:w="1702" w:type="dxa"/>
          </w:tcPr>
          <w:p w:rsidR="0024011C" w:rsidRPr="00AF3362"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Gender</w:t>
            </w:r>
          </w:p>
        </w:tc>
        <w:tc>
          <w:tcPr>
            <w:tcW w:w="1695" w:type="dxa"/>
          </w:tcPr>
          <w:p w:rsidR="0024011C" w:rsidRPr="00AF3362"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Noto Sans Symbols" w:eastAsia="Noto Sans Symbols" w:hAnsi="Noto Sans Symbols" w:cs="Noto Sans Symbols"/>
                <w:color w:val="auto"/>
              </w:rPr>
              <w:t xml:space="preserve">χ </w:t>
            </w:r>
            <w:r w:rsidRPr="00AF3362">
              <w:rPr>
                <w:rFonts w:ascii="Noto Sans Symbols" w:eastAsia="Noto Sans Symbols" w:hAnsi="Noto Sans Symbols" w:cs="Noto Sans Symbols"/>
                <w:color w:val="auto"/>
                <w:vertAlign w:val="superscript"/>
              </w:rPr>
              <w:t>2</w:t>
            </w:r>
          </w:p>
        </w:tc>
        <w:tc>
          <w:tcPr>
            <w:tcW w:w="1695" w:type="dxa"/>
          </w:tcPr>
          <w:p w:rsidR="0024011C" w:rsidRPr="00AF3362"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 xml:space="preserve"> </w:t>
            </w:r>
            <w:r w:rsidRPr="00AF3362">
              <w:rPr>
                <w:rFonts w:ascii="Arial" w:eastAsia="Arial" w:hAnsi="Arial" w:cs="Arial"/>
                <w:i/>
                <w:color w:val="auto"/>
                <w:sz w:val="16"/>
                <w:szCs w:val="16"/>
              </w:rPr>
              <w:t>p</w:t>
            </w:r>
            <w:r w:rsidRPr="00AF3362">
              <w:rPr>
                <w:rFonts w:ascii="Arial" w:eastAsia="Arial" w:hAnsi="Arial" w:cs="Arial"/>
                <w:color w:val="auto"/>
                <w:sz w:val="16"/>
                <w:szCs w:val="16"/>
              </w:rPr>
              <w:t>-value</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CNR1</w:t>
            </w:r>
          </w:p>
        </w:tc>
        <w:tc>
          <w:tcPr>
            <w:tcW w:w="1720"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(AAT)n</w:t>
            </w:r>
          </w:p>
        </w:tc>
        <w:tc>
          <w:tcPr>
            <w:tcW w:w="1702"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Women</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0,5389</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0,7638</w:t>
            </w:r>
          </w:p>
        </w:tc>
      </w:tr>
      <w:tr w:rsidR="00AF3362" w:rsidRPr="00AF3362">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p>
        </w:tc>
        <w:tc>
          <w:tcPr>
            <w:tcW w:w="1720"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p>
        </w:tc>
        <w:tc>
          <w:tcPr>
            <w:tcW w:w="1702"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Men</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3,2414</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0,1978</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CNR2</w:t>
            </w:r>
          </w:p>
        </w:tc>
        <w:tc>
          <w:tcPr>
            <w:tcW w:w="1720"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rs35761398</w:t>
            </w:r>
          </w:p>
        </w:tc>
        <w:tc>
          <w:tcPr>
            <w:tcW w:w="1702"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Women</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0,0467</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0,9769</w:t>
            </w:r>
          </w:p>
        </w:tc>
      </w:tr>
      <w:tr w:rsidR="00AF3362" w:rsidRPr="00AF3362">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p>
        </w:tc>
        <w:tc>
          <w:tcPr>
            <w:tcW w:w="1720"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p>
        </w:tc>
        <w:tc>
          <w:tcPr>
            <w:tcW w:w="1702"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Men</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0,1874</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0,9106</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FAAH</w:t>
            </w:r>
          </w:p>
        </w:tc>
        <w:tc>
          <w:tcPr>
            <w:tcW w:w="1720"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rs324420</w:t>
            </w:r>
          </w:p>
        </w:tc>
        <w:tc>
          <w:tcPr>
            <w:tcW w:w="1702"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 xml:space="preserve">Women </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1,5451</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0,4183</w:t>
            </w:r>
          </w:p>
        </w:tc>
      </w:tr>
      <w:tr w:rsidR="00AF3362" w:rsidRPr="00AF3362">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p>
        </w:tc>
        <w:tc>
          <w:tcPr>
            <w:tcW w:w="1720"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p>
        </w:tc>
        <w:tc>
          <w:tcPr>
            <w:tcW w:w="1702"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Men</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0,1229</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0,9404</w:t>
            </w:r>
          </w:p>
        </w:tc>
      </w:tr>
    </w:tbl>
    <w:p w:rsidR="0024011C" w:rsidRPr="00AF3362" w:rsidRDefault="0024011C" w:rsidP="0024011C">
      <w:pPr>
        <w:spacing w:line="276" w:lineRule="auto"/>
        <w:jc w:val="both"/>
        <w:rPr>
          <w:rFonts w:ascii="Arial" w:eastAsia="Arial" w:hAnsi="Arial" w:cs="Arial"/>
          <w:sz w:val="20"/>
          <w:szCs w:val="20"/>
        </w:rPr>
      </w:pPr>
      <w:r w:rsidRPr="00AF3362">
        <w:rPr>
          <w:rFonts w:ascii="Arial" w:eastAsia="Arial" w:hAnsi="Arial" w:cs="Arial"/>
          <w:sz w:val="20"/>
          <w:szCs w:val="20"/>
        </w:rPr>
        <w:t>Two degree of freedom except rs6323 and rs1799836 in man (hemizygosity), calculated for 1 degree of freedom.</w:t>
      </w:r>
    </w:p>
    <w:p w:rsidR="0024011C" w:rsidRPr="00AF3362" w:rsidRDefault="0024011C">
      <w:pPr>
        <w:suppressAutoHyphens w:val="0"/>
      </w:pPr>
    </w:p>
    <w:p w:rsidR="002C4823" w:rsidRPr="00AF3362" w:rsidRDefault="002C4823">
      <w:pPr>
        <w:suppressAutoHyphens w:val="0"/>
      </w:pPr>
      <w:r w:rsidRPr="00AF3362">
        <w:br w:type="page"/>
      </w:r>
    </w:p>
    <w:p w:rsidR="002C4823" w:rsidRPr="00AF3362" w:rsidRDefault="002C4823" w:rsidP="002C4823">
      <w:pPr>
        <w:spacing w:after="160" w:line="360" w:lineRule="auto"/>
        <w:jc w:val="both"/>
        <w:rPr>
          <w:rFonts w:eastAsia="Arial"/>
        </w:rPr>
      </w:pPr>
      <w:r w:rsidRPr="00AF3362">
        <w:rPr>
          <w:rFonts w:eastAsia="Arial"/>
        </w:rPr>
        <w:t xml:space="preserve">Table 3. General description of the sample. </w:t>
      </w:r>
    </w:p>
    <w:p w:rsidR="002C4823" w:rsidRPr="00AF3362" w:rsidRDefault="002C4823" w:rsidP="00F05F52">
      <w:pPr>
        <w:spacing w:after="160" w:line="360" w:lineRule="auto"/>
        <w:jc w:val="both"/>
      </w:pPr>
    </w:p>
    <w:tbl>
      <w:tblPr>
        <w:tblStyle w:val="a"/>
        <w:tblW w:w="946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362"/>
        <w:gridCol w:w="1751"/>
        <w:gridCol w:w="2404"/>
        <w:gridCol w:w="2050"/>
        <w:gridCol w:w="284"/>
      </w:tblGrid>
      <w:tr w:rsidR="00AF3362" w:rsidRPr="00AF3362">
        <w:trPr>
          <w:gridAfter w:val="1"/>
          <w:cnfStyle w:val="100000000000" w:firstRow="1" w:lastRow="0" w:firstColumn="0" w:lastColumn="0" w:oddVBand="0" w:evenVBand="0" w:oddHBand="0" w:evenHBand="0" w:firstRowFirstColumn="0" w:firstRowLastColumn="0" w:lastRowFirstColumn="0" w:lastRowLastColumn="0"/>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tcPr>
          <w:p w:rsidR="003E7904" w:rsidRPr="00AF3362" w:rsidRDefault="003E7904">
            <w:pPr>
              <w:rPr>
                <w:rFonts w:ascii="Arial" w:eastAsia="Arial" w:hAnsi="Arial" w:cs="Arial"/>
                <w:color w:val="auto"/>
                <w:sz w:val="20"/>
                <w:szCs w:val="20"/>
              </w:rPr>
            </w:pPr>
          </w:p>
        </w:tc>
        <w:tc>
          <w:tcPr>
            <w:tcW w:w="1362"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Controls</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N=316</w:t>
            </w:r>
          </w:p>
        </w:tc>
        <w:tc>
          <w:tcPr>
            <w:tcW w:w="1751"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Schizophrenia</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N=379</w:t>
            </w:r>
          </w:p>
        </w:tc>
        <w:tc>
          <w:tcPr>
            <w:tcW w:w="2404"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Schizophrenia + cannabis dependence</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N=124</w:t>
            </w:r>
          </w:p>
        </w:tc>
        <w:tc>
          <w:tcPr>
            <w:tcW w:w="2050"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Cannabis dependence</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N=71</w:t>
            </w:r>
          </w:p>
        </w:tc>
      </w:tr>
      <w:tr w:rsidR="00AF3362" w:rsidRPr="00AF3362">
        <w:trPr>
          <w:gridAfter w:val="1"/>
          <w:cnfStyle w:val="000000100000" w:firstRow="0" w:lastRow="0" w:firstColumn="0" w:lastColumn="0" w:oddVBand="0" w:evenVBand="0" w:oddHBand="1" w:evenHBand="0" w:firstRowFirstColumn="0" w:firstRowLastColumn="0" w:lastRowFirstColumn="0" w:lastRowLastColumn="0"/>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Male (%)</w:t>
            </w:r>
          </w:p>
        </w:tc>
        <w:tc>
          <w:tcPr>
            <w:tcW w:w="1362"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42,72</w:t>
            </w:r>
          </w:p>
        </w:tc>
        <w:tc>
          <w:tcPr>
            <w:tcW w:w="1751"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60,16</w:t>
            </w:r>
          </w:p>
        </w:tc>
        <w:tc>
          <w:tcPr>
            <w:tcW w:w="2404"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87,90</w:t>
            </w:r>
          </w:p>
        </w:tc>
        <w:tc>
          <w:tcPr>
            <w:tcW w:w="2050"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70,42</w:t>
            </w:r>
          </w:p>
        </w:tc>
      </w:tr>
      <w:tr w:rsidR="00AF3362" w:rsidRPr="00AF3362">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Mean age at testing  (p25 -p75)</w:t>
            </w:r>
          </w:p>
        </w:tc>
        <w:tc>
          <w:tcPr>
            <w:tcW w:w="1362"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31 (28 - 37)</w:t>
            </w:r>
          </w:p>
        </w:tc>
        <w:tc>
          <w:tcPr>
            <w:tcW w:w="1751"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37 (31 - 50)</w:t>
            </w:r>
          </w:p>
        </w:tc>
        <w:tc>
          <w:tcPr>
            <w:tcW w:w="2404"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29 (26 - 36)</w:t>
            </w:r>
          </w:p>
        </w:tc>
        <w:tc>
          <w:tcPr>
            <w:tcW w:w="2050"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28 (25 - 34)</w:t>
            </w:r>
          </w:p>
        </w:tc>
      </w:tr>
      <w:tr w:rsidR="00AF3362" w:rsidRPr="00AF3362">
        <w:trPr>
          <w:gridAfter w:val="1"/>
          <w:cnfStyle w:val="000000100000" w:firstRow="0" w:lastRow="0" w:firstColumn="0" w:lastColumn="0" w:oddVBand="0" w:evenVBand="0" w:oddHBand="1" w:evenHBand="0" w:firstRowFirstColumn="0" w:firstRowLastColumn="0" w:lastRowFirstColumn="0" w:lastRowLastColumn="0"/>
          <w:wAfter w:w="284" w:type="dxa"/>
          <w:trHeight w:val="667"/>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Mean age at diagnosis (p25-p75)</w:t>
            </w:r>
          </w:p>
        </w:tc>
        <w:tc>
          <w:tcPr>
            <w:tcW w:w="1362" w:type="dxa"/>
            <w:shd w:val="clear" w:color="auto" w:fill="FFFFFF"/>
          </w:tcPr>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tc>
        <w:tc>
          <w:tcPr>
            <w:tcW w:w="1751"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25 (20 - 32)</w:t>
            </w:r>
          </w:p>
        </w:tc>
        <w:tc>
          <w:tcPr>
            <w:tcW w:w="2404"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25 (20 - 28)</w:t>
            </w:r>
          </w:p>
        </w:tc>
        <w:tc>
          <w:tcPr>
            <w:tcW w:w="2050"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23 (19 - 30)</w:t>
            </w:r>
          </w:p>
        </w:tc>
      </w:tr>
      <w:tr w:rsidR="00AF3362" w:rsidRPr="00AF3362">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Mean age of first cannabis use (p25-p75)</w:t>
            </w:r>
          </w:p>
        </w:tc>
        <w:tc>
          <w:tcPr>
            <w:tcW w:w="1362"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1751"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2404"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16 (15 - 18)</w:t>
            </w:r>
          </w:p>
        </w:tc>
        <w:tc>
          <w:tcPr>
            <w:tcW w:w="2050"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16 (15 - 17)</w:t>
            </w:r>
          </w:p>
        </w:tc>
      </w:tr>
      <w:tr w:rsidR="00AF3362" w:rsidRPr="00AF3362">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180" w:type="dxa"/>
            <w:gridSpan w:val="5"/>
          </w:tcPr>
          <w:p w:rsidR="003E7904" w:rsidRPr="00AF3362" w:rsidRDefault="00BA0F84">
            <w:pPr>
              <w:jc w:val="center"/>
              <w:rPr>
                <w:rFonts w:ascii="Arial" w:eastAsia="Arial" w:hAnsi="Arial" w:cs="Arial"/>
                <w:i/>
                <w:color w:val="auto"/>
                <w:sz w:val="20"/>
                <w:szCs w:val="20"/>
              </w:rPr>
            </w:pPr>
            <w:r w:rsidRPr="00AF3362">
              <w:rPr>
                <w:rFonts w:ascii="Arial" w:eastAsia="Arial" w:hAnsi="Arial" w:cs="Arial"/>
                <w:i/>
                <w:color w:val="auto"/>
                <w:sz w:val="20"/>
                <w:szCs w:val="20"/>
              </w:rPr>
              <w:t>PANSS score: mean (95% CI)</w:t>
            </w:r>
          </w:p>
        </w:tc>
        <w:tc>
          <w:tcPr>
            <w:tcW w:w="284" w:type="dxa"/>
          </w:tcPr>
          <w:p w:rsidR="003E7904" w:rsidRPr="00AF3362" w:rsidRDefault="003E7904">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4"/>
                <w:szCs w:val="14"/>
              </w:rPr>
            </w:pPr>
          </w:p>
        </w:tc>
      </w:tr>
      <w:tr w:rsidR="00AF3362" w:rsidRPr="00AF3362">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Positive Scale </w:t>
            </w:r>
          </w:p>
        </w:tc>
        <w:tc>
          <w:tcPr>
            <w:tcW w:w="1362" w:type="dxa"/>
            <w:shd w:val="clear" w:color="auto" w:fill="FFFFFF"/>
          </w:tcPr>
          <w:p w:rsidR="003E7904" w:rsidRPr="00AF3362"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1751"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22.6 (20.7-24.5)</w:t>
            </w:r>
          </w:p>
        </w:tc>
        <w:tc>
          <w:tcPr>
            <w:tcW w:w="2404"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21.5 (18.8-24.1)</w:t>
            </w:r>
          </w:p>
        </w:tc>
        <w:tc>
          <w:tcPr>
            <w:tcW w:w="2050" w:type="dxa"/>
            <w:shd w:val="clear" w:color="auto" w:fill="FFFFFF"/>
          </w:tcPr>
          <w:p w:rsidR="003E7904" w:rsidRPr="00AF3362"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r>
      <w:tr w:rsidR="00AF3362" w:rsidRPr="00AF3362">
        <w:trPr>
          <w:gridAfter w:val="1"/>
          <w:cnfStyle w:val="000000100000" w:firstRow="0" w:lastRow="0" w:firstColumn="0" w:lastColumn="0" w:oddVBand="0" w:evenVBand="0" w:oddHBand="1" w:evenHBand="0" w:firstRowFirstColumn="0" w:firstRowLastColumn="0" w:lastRowFirstColumn="0" w:lastRowLastColumn="0"/>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Negative Scale </w:t>
            </w:r>
          </w:p>
        </w:tc>
        <w:tc>
          <w:tcPr>
            <w:tcW w:w="1362" w:type="dxa"/>
            <w:shd w:val="clear" w:color="auto" w:fill="FFFFFF"/>
          </w:tcPr>
          <w:p w:rsidR="003E7904" w:rsidRPr="00AF3362" w:rsidRDefault="003E7904">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tc>
        <w:tc>
          <w:tcPr>
            <w:tcW w:w="1751"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23.8 (22.0-25.6)</w:t>
            </w:r>
          </w:p>
        </w:tc>
        <w:tc>
          <w:tcPr>
            <w:tcW w:w="2404"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20.1 (17.0-23.2)</w:t>
            </w:r>
          </w:p>
        </w:tc>
        <w:tc>
          <w:tcPr>
            <w:tcW w:w="2050" w:type="dxa"/>
            <w:shd w:val="clear" w:color="auto" w:fill="FFFFFF"/>
          </w:tcPr>
          <w:p w:rsidR="003E7904" w:rsidRPr="00AF3362" w:rsidRDefault="003E7904">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tc>
      </w:tr>
      <w:tr w:rsidR="00AF3362" w:rsidRPr="00AF3362">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Global Scale </w:t>
            </w:r>
          </w:p>
        </w:tc>
        <w:tc>
          <w:tcPr>
            <w:tcW w:w="1362" w:type="dxa"/>
            <w:shd w:val="clear" w:color="auto" w:fill="FFFFFF"/>
          </w:tcPr>
          <w:p w:rsidR="003E7904" w:rsidRPr="00AF3362"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1751"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36.3 (34.2-38.3)</w:t>
            </w:r>
          </w:p>
        </w:tc>
        <w:tc>
          <w:tcPr>
            <w:tcW w:w="2404" w:type="dxa"/>
            <w:shd w:val="clear" w:color="auto" w:fill="FFFFFF"/>
          </w:tcPr>
          <w:p w:rsidR="003E7904" w:rsidRPr="00AF3362" w:rsidRDefault="00BA0F8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33.5 (31.0-35.9)</w:t>
            </w:r>
          </w:p>
        </w:tc>
        <w:tc>
          <w:tcPr>
            <w:tcW w:w="2050" w:type="dxa"/>
            <w:shd w:val="clear" w:color="auto" w:fill="FFFFFF"/>
          </w:tcPr>
          <w:p w:rsidR="003E7904" w:rsidRPr="00AF3362"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r>
    </w:tbl>
    <w:p w:rsidR="003E7904" w:rsidRPr="00AF3362" w:rsidRDefault="003E7904">
      <w:pPr>
        <w:spacing w:after="160" w:line="360" w:lineRule="auto"/>
        <w:jc w:val="both"/>
        <w:rPr>
          <w:rFonts w:ascii="Arial" w:eastAsia="Arial" w:hAnsi="Arial" w:cs="Arial"/>
          <w:sz w:val="20"/>
          <w:szCs w:val="20"/>
        </w:rPr>
      </w:pPr>
    </w:p>
    <w:p w:rsidR="00EA3122" w:rsidRPr="00AF3362" w:rsidRDefault="00EA3122">
      <w:pPr>
        <w:spacing w:after="160" w:line="360" w:lineRule="auto"/>
        <w:jc w:val="both"/>
        <w:rPr>
          <w:rFonts w:ascii="Arial" w:eastAsia="Arial" w:hAnsi="Arial" w:cs="Arial"/>
          <w:sz w:val="20"/>
          <w:szCs w:val="20"/>
        </w:rPr>
      </w:pPr>
      <w:r w:rsidRPr="00AF3362">
        <w:rPr>
          <w:rFonts w:ascii="Arial" w:eastAsia="Arial" w:hAnsi="Arial" w:cs="Arial"/>
          <w:sz w:val="20"/>
          <w:szCs w:val="20"/>
        </w:rPr>
        <w:t xml:space="preserve">PANSS: Positive And Negative Syndrome Scale. P=percentile. CI=confidence interval. </w:t>
      </w:r>
      <w:r w:rsidR="00616BEE" w:rsidRPr="00AF3362">
        <w:rPr>
          <w:rFonts w:ascii="Arial" w:eastAsia="Arial" w:hAnsi="Arial" w:cs="Arial"/>
          <w:sz w:val="20"/>
          <w:szCs w:val="20"/>
        </w:rPr>
        <w:t>Male predominance in schizophrenia+cannabis dependence vs schizophrenia</w:t>
      </w:r>
      <w:r w:rsidR="00616BEE" w:rsidRPr="00AF3362">
        <w:rPr>
          <w:rFonts w:ascii="Arial" w:hAnsi="Arial" w:cs="Arial"/>
          <w:sz w:val="20"/>
          <w:szCs w:val="20"/>
        </w:rPr>
        <w:t xml:space="preserve"> (chi</w:t>
      </w:r>
      <w:r w:rsidR="00616BEE" w:rsidRPr="00AF3362">
        <w:rPr>
          <w:rFonts w:ascii="Arial" w:hAnsi="Arial" w:cs="Arial"/>
          <w:sz w:val="20"/>
          <w:szCs w:val="20"/>
          <w:vertAlign w:val="superscript"/>
        </w:rPr>
        <w:t>2</w:t>
      </w:r>
      <w:r w:rsidR="00616BEE" w:rsidRPr="00AF3362">
        <w:rPr>
          <w:rFonts w:ascii="Arial" w:hAnsi="Arial" w:cs="Arial"/>
          <w:sz w:val="20"/>
          <w:szCs w:val="20"/>
        </w:rPr>
        <w:t xml:space="preserve"> = 32,53, </w:t>
      </w:r>
      <w:r w:rsidR="00616BEE" w:rsidRPr="00AF3362">
        <w:rPr>
          <w:rFonts w:ascii="Arial" w:hAnsi="Arial" w:cs="Arial"/>
          <w:i/>
          <w:iCs/>
          <w:sz w:val="20"/>
          <w:szCs w:val="20"/>
        </w:rPr>
        <w:t xml:space="preserve">p </w:t>
      </w:r>
      <w:r w:rsidR="00616BEE" w:rsidRPr="00AF3362">
        <w:rPr>
          <w:rFonts w:ascii="Arial" w:hAnsi="Arial" w:cs="Arial"/>
          <w:sz w:val="20"/>
          <w:szCs w:val="20"/>
        </w:rPr>
        <w:t xml:space="preserve">&lt; 0.001, OR: 4,81, IC: 95%: 2,70-8,58). </w:t>
      </w: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259" w:lineRule="auto"/>
        <w:rPr>
          <w:rFonts w:ascii="Arial" w:eastAsia="Arial" w:hAnsi="Arial" w:cs="Arial"/>
          <w:b/>
          <w:sz w:val="20"/>
          <w:szCs w:val="20"/>
        </w:rPr>
      </w:pPr>
    </w:p>
    <w:p w:rsidR="002C4823" w:rsidRPr="00AF3362" w:rsidRDefault="002C4823">
      <w:pPr>
        <w:spacing w:after="160" w:line="259" w:lineRule="auto"/>
        <w:rPr>
          <w:rFonts w:eastAsia="Arial"/>
        </w:rPr>
      </w:pPr>
      <w:r w:rsidRPr="00AF3362">
        <w:rPr>
          <w:rFonts w:eastAsia="Arial"/>
        </w:rPr>
        <w:t>Table 4. Percentages of drug use among groups.</w:t>
      </w:r>
    </w:p>
    <w:p w:rsidR="002C4823" w:rsidRPr="00AF3362" w:rsidRDefault="002C4823">
      <w:pPr>
        <w:spacing w:after="160" w:line="259" w:lineRule="auto"/>
        <w:rPr>
          <w:rFonts w:eastAsia="Arial"/>
          <w:b/>
        </w:rPr>
      </w:pPr>
    </w:p>
    <w:tbl>
      <w:tblPr>
        <w:tblStyle w:val="a0"/>
        <w:tblW w:w="849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8"/>
        <w:gridCol w:w="1844"/>
        <w:gridCol w:w="1741"/>
        <w:gridCol w:w="1496"/>
        <w:gridCol w:w="1535"/>
      </w:tblGrid>
      <w:tr w:rsidR="00AF3362" w:rsidRPr="00AF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3E7904">
            <w:pPr>
              <w:spacing w:after="160" w:line="259" w:lineRule="auto"/>
              <w:rPr>
                <w:rFonts w:ascii="Arial" w:eastAsia="Arial" w:hAnsi="Arial" w:cs="Arial"/>
                <w:color w:val="auto"/>
                <w:sz w:val="20"/>
                <w:szCs w:val="20"/>
              </w:rPr>
            </w:pPr>
          </w:p>
        </w:tc>
        <w:tc>
          <w:tcPr>
            <w:tcW w:w="1844"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Schizophrenia</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and  Cannabis dependence</w:t>
            </w:r>
          </w:p>
          <w:p w:rsidR="003E7904" w:rsidRPr="00AF3362"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N=124</w:t>
            </w:r>
          </w:p>
        </w:tc>
        <w:tc>
          <w:tcPr>
            <w:tcW w:w="1741" w:type="dxa"/>
          </w:tcPr>
          <w:p w:rsidR="003E7904" w:rsidRPr="00AF3362"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Cannabis dependence</w:t>
            </w:r>
          </w:p>
          <w:p w:rsidR="003E7904" w:rsidRPr="00AF3362"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N=71</w:t>
            </w:r>
          </w:p>
        </w:tc>
        <w:tc>
          <w:tcPr>
            <w:tcW w:w="1496"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Schizophrenia </w:t>
            </w:r>
          </w:p>
          <w:p w:rsidR="002C4823" w:rsidRPr="00AF3362" w:rsidRDefault="002C482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N=379</w:t>
            </w:r>
          </w:p>
        </w:tc>
        <w:tc>
          <w:tcPr>
            <w:tcW w:w="1535" w:type="dxa"/>
          </w:tcPr>
          <w:p w:rsidR="003E7904" w:rsidRPr="00AF3362"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Controls</w:t>
            </w:r>
          </w:p>
          <w:p w:rsidR="003E7904" w:rsidRPr="00AF3362"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N=316</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Cannabis (cig</w:t>
            </w:r>
            <w:r w:rsidR="002C4823" w:rsidRPr="00AF3362">
              <w:rPr>
                <w:rFonts w:ascii="Arial" w:eastAsia="Arial" w:hAnsi="Arial" w:cs="Arial"/>
                <w:color w:val="auto"/>
                <w:sz w:val="20"/>
                <w:szCs w:val="20"/>
              </w:rPr>
              <w:t xml:space="preserve">arette/day): mean; median </w:t>
            </w:r>
          </w:p>
        </w:tc>
        <w:tc>
          <w:tcPr>
            <w:tcW w:w="1844" w:type="dxa"/>
          </w:tcPr>
          <w:p w:rsidR="003E7904" w:rsidRPr="00AF3362" w:rsidRDefault="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 xml:space="preserve">7,5; 6 </w:t>
            </w:r>
          </w:p>
        </w:tc>
        <w:tc>
          <w:tcPr>
            <w:tcW w:w="1741" w:type="dxa"/>
          </w:tcPr>
          <w:p w:rsidR="003E7904" w:rsidRPr="00AF3362" w:rsidRDefault="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 xml:space="preserve">6; 6 </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w:t>
            </w:r>
          </w:p>
        </w:tc>
        <w:tc>
          <w:tcPr>
            <w:tcW w:w="153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w:t>
            </w:r>
          </w:p>
        </w:tc>
      </w:tr>
      <w:tr w:rsidR="00AF3362" w:rsidRPr="00AF3362">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Tobacco (%) </w:t>
            </w:r>
          </w:p>
        </w:tc>
        <w:tc>
          <w:tcPr>
            <w:tcW w:w="1844"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92</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1</w:t>
            </w:r>
          </w:p>
        </w:tc>
        <w:tc>
          <w:tcPr>
            <w:tcW w:w="1741"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64</w:t>
            </w:r>
            <w:r w:rsidR="002C4823" w:rsidRPr="00AF3362">
              <w:rPr>
                <w:rFonts w:ascii="Arial" w:eastAsia="Arial" w:hAnsi="Arial" w:cs="Arial"/>
                <w:color w:val="auto"/>
                <w:sz w:val="20"/>
                <w:szCs w:val="20"/>
              </w:rPr>
              <w:t>.3</w:t>
            </w:r>
          </w:p>
        </w:tc>
        <w:tc>
          <w:tcPr>
            <w:tcW w:w="1496" w:type="dxa"/>
          </w:tcPr>
          <w:p w:rsidR="003E7904" w:rsidRPr="00AF3362" w:rsidRDefault="00BA0F84" w:rsidP="002C4823">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48</w:t>
            </w:r>
            <w:r w:rsidR="002C4823" w:rsidRPr="00AF3362">
              <w:rPr>
                <w:rFonts w:ascii="Arial" w:eastAsia="Arial" w:hAnsi="Arial" w:cs="Arial"/>
                <w:color w:val="auto"/>
                <w:sz w:val="20"/>
                <w:szCs w:val="20"/>
              </w:rPr>
              <w:t>.4</w:t>
            </w:r>
          </w:p>
        </w:tc>
        <w:tc>
          <w:tcPr>
            <w:tcW w:w="1535" w:type="dxa"/>
          </w:tcPr>
          <w:p w:rsidR="003E7904" w:rsidRPr="00AF3362" w:rsidRDefault="00BA0F84" w:rsidP="002C4823">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36</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8</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Alcohol (%)</w:t>
            </w:r>
          </w:p>
        </w:tc>
        <w:tc>
          <w:tcPr>
            <w:tcW w:w="1844"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48</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741"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21</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4</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Cocaine (%)</w:t>
            </w:r>
          </w:p>
        </w:tc>
        <w:tc>
          <w:tcPr>
            <w:tcW w:w="1844"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32</w:t>
            </w:r>
            <w:r w:rsidR="002C4823" w:rsidRPr="00AF3362">
              <w:rPr>
                <w:rFonts w:ascii="Arial" w:eastAsia="Arial" w:hAnsi="Arial" w:cs="Arial"/>
                <w:color w:val="auto"/>
                <w:sz w:val="20"/>
                <w:szCs w:val="20"/>
              </w:rPr>
              <w:t>.7</w:t>
            </w:r>
          </w:p>
        </w:tc>
        <w:tc>
          <w:tcPr>
            <w:tcW w:w="1741"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7</w:t>
            </w:r>
          </w:p>
        </w:tc>
        <w:tc>
          <w:tcPr>
            <w:tcW w:w="1496"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spacing w:after="160" w:line="259" w:lineRule="auto"/>
              <w:rPr>
                <w:rFonts w:ascii="Arial" w:eastAsia="Arial" w:hAnsi="Arial" w:cs="Arial"/>
                <w:color w:val="auto"/>
                <w:sz w:val="20"/>
                <w:szCs w:val="20"/>
              </w:rPr>
            </w:pPr>
            <w:r w:rsidRPr="00AF3362">
              <w:rPr>
                <w:rFonts w:ascii="Arial" w:eastAsia="Arial" w:hAnsi="Arial" w:cs="Arial"/>
                <w:color w:val="auto"/>
                <w:sz w:val="20"/>
                <w:szCs w:val="20"/>
              </w:rPr>
              <w:t>Op</w:t>
            </w:r>
            <w:r w:rsidR="002C4823" w:rsidRPr="00AF3362">
              <w:rPr>
                <w:rFonts w:ascii="Arial" w:eastAsia="Arial" w:hAnsi="Arial" w:cs="Arial"/>
                <w:color w:val="auto"/>
                <w:sz w:val="20"/>
                <w:szCs w:val="20"/>
              </w:rPr>
              <w:t>i</w:t>
            </w:r>
            <w:r w:rsidRPr="00AF3362">
              <w:rPr>
                <w:rFonts w:ascii="Arial" w:eastAsia="Arial" w:hAnsi="Arial" w:cs="Arial"/>
                <w:color w:val="auto"/>
                <w:sz w:val="20"/>
                <w:szCs w:val="20"/>
              </w:rPr>
              <w:t>oids (%)</w:t>
            </w:r>
          </w:p>
        </w:tc>
        <w:tc>
          <w:tcPr>
            <w:tcW w:w="1844"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9</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3</w:t>
            </w:r>
          </w:p>
        </w:tc>
        <w:tc>
          <w:tcPr>
            <w:tcW w:w="1741"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Amphetamines (%)</w:t>
            </w:r>
          </w:p>
        </w:tc>
        <w:tc>
          <w:tcPr>
            <w:tcW w:w="1844"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3</w:t>
            </w:r>
          </w:p>
        </w:tc>
        <w:tc>
          <w:tcPr>
            <w:tcW w:w="1741"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496"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spacing w:after="160" w:line="259" w:lineRule="auto"/>
              <w:rPr>
                <w:rFonts w:ascii="Arial" w:eastAsia="Arial" w:hAnsi="Arial" w:cs="Arial"/>
                <w:color w:val="auto"/>
                <w:sz w:val="20"/>
                <w:szCs w:val="20"/>
              </w:rPr>
            </w:pPr>
            <w:r w:rsidRPr="00AF3362">
              <w:rPr>
                <w:rFonts w:ascii="Arial" w:eastAsia="Arial" w:hAnsi="Arial" w:cs="Arial"/>
                <w:color w:val="auto"/>
                <w:sz w:val="20"/>
                <w:szCs w:val="20"/>
              </w:rPr>
              <w:t>Others (%)</w:t>
            </w:r>
          </w:p>
        </w:tc>
        <w:tc>
          <w:tcPr>
            <w:tcW w:w="1844"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12</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741"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r>
    </w:tbl>
    <w:p w:rsidR="003E7904" w:rsidRPr="00AF3362" w:rsidRDefault="000F0D10">
      <w:pPr>
        <w:spacing w:after="160" w:line="259" w:lineRule="auto"/>
        <w:rPr>
          <w:rFonts w:ascii="Arial" w:eastAsia="Arial" w:hAnsi="Arial" w:cs="Arial"/>
          <w:sz w:val="20"/>
          <w:szCs w:val="20"/>
        </w:rPr>
      </w:pPr>
      <w:r w:rsidRPr="00AF3362">
        <w:rPr>
          <w:rFonts w:ascii="Arial" w:eastAsia="Arial" w:hAnsi="Arial" w:cs="Arial"/>
          <w:sz w:val="20"/>
          <w:szCs w:val="20"/>
        </w:rPr>
        <w:t xml:space="preserve">Percentage of use of alcohol, cocaine, opioids, amphetamines or other drugs without dependence criteria. </w:t>
      </w:r>
      <w:r w:rsidR="00BA0F84" w:rsidRPr="00AF3362">
        <w:rPr>
          <w:rFonts w:ascii="Arial" w:eastAsia="Arial" w:hAnsi="Arial" w:cs="Arial"/>
          <w:sz w:val="20"/>
          <w:szCs w:val="20"/>
        </w:rPr>
        <w:t>In the subgroup of schizophrenia + cannabis dependence, 52 % of the subjects</w:t>
      </w:r>
      <w:r w:rsidR="002C4823" w:rsidRPr="00AF3362">
        <w:rPr>
          <w:rFonts w:ascii="Arial" w:eastAsia="Arial" w:hAnsi="Arial" w:cs="Arial"/>
          <w:sz w:val="20"/>
          <w:szCs w:val="20"/>
        </w:rPr>
        <w:t xml:space="preserve"> only used tobacco and cannabis</w:t>
      </w:r>
      <w:r w:rsidR="00BA0F84" w:rsidRPr="00AF3362">
        <w:rPr>
          <w:rFonts w:ascii="Arial" w:eastAsia="Arial" w:hAnsi="Arial" w:cs="Arial"/>
          <w:sz w:val="20"/>
          <w:szCs w:val="20"/>
        </w:rPr>
        <w:t xml:space="preserve">. </w:t>
      </w: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2C4823" w:rsidRPr="00AF3362" w:rsidRDefault="002C4823" w:rsidP="002C4823">
      <w:pPr>
        <w:spacing w:after="160" w:line="259" w:lineRule="auto"/>
        <w:rPr>
          <w:rFonts w:eastAsia="Arial"/>
        </w:rPr>
      </w:pPr>
      <w:r w:rsidRPr="00AF3362">
        <w:rPr>
          <w:rFonts w:eastAsia="Arial"/>
        </w:rPr>
        <w:t xml:space="preserve">Table 5. Distribution of genotype and allele </w:t>
      </w:r>
      <w:r w:rsidR="000F0D10" w:rsidRPr="00AF3362">
        <w:rPr>
          <w:rFonts w:eastAsia="Arial"/>
        </w:rPr>
        <w:t>frequencies</w:t>
      </w:r>
      <w:r w:rsidRPr="00AF3362">
        <w:rPr>
          <w:rFonts w:eastAsia="Arial"/>
        </w:rPr>
        <w:t xml:space="preserve"> among subgroups. </w:t>
      </w:r>
    </w:p>
    <w:p w:rsidR="003E7904" w:rsidRPr="00AF3362" w:rsidRDefault="003E7904">
      <w:pPr>
        <w:spacing w:after="160" w:line="259" w:lineRule="auto"/>
        <w:rPr>
          <w:rFonts w:ascii="Arial" w:eastAsia="Arial" w:hAnsi="Arial" w:cs="Arial"/>
          <w:sz w:val="20"/>
          <w:szCs w:val="20"/>
        </w:rPr>
      </w:pPr>
    </w:p>
    <w:tbl>
      <w:tblPr>
        <w:tblStyle w:val="a1"/>
        <w:tblW w:w="8951"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2"/>
        <w:gridCol w:w="1113"/>
        <w:gridCol w:w="777"/>
        <w:gridCol w:w="1185"/>
        <w:gridCol w:w="1496"/>
        <w:gridCol w:w="1496"/>
        <w:gridCol w:w="1342"/>
      </w:tblGrid>
      <w:tr w:rsidR="00AF3362" w:rsidRPr="00AF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Pr>
          <w:p w:rsidR="003E7904" w:rsidRPr="00AF3362" w:rsidRDefault="00BA0F84">
            <w:pPr>
              <w:rPr>
                <w:rFonts w:ascii="Calibri" w:eastAsia="Calibri" w:hAnsi="Calibri" w:cs="Calibri"/>
                <w:color w:val="auto"/>
              </w:rPr>
            </w:pPr>
            <w:r w:rsidRPr="00AF3362">
              <w:rPr>
                <w:rFonts w:ascii="Calibri" w:eastAsia="Calibri" w:hAnsi="Calibri" w:cs="Calibri"/>
                <w:color w:val="auto"/>
              </w:rPr>
              <w:t>Polymorphism</w:t>
            </w:r>
          </w:p>
          <w:p w:rsidR="003E7904" w:rsidRPr="00AF3362" w:rsidRDefault="00BA0F84">
            <w:pPr>
              <w:rPr>
                <w:rFonts w:ascii="Calibri" w:eastAsia="Calibri" w:hAnsi="Calibri" w:cs="Calibri"/>
                <w:color w:val="auto"/>
              </w:rPr>
            </w:pPr>
            <w:r w:rsidRPr="00AF3362">
              <w:rPr>
                <w:rFonts w:ascii="Calibri" w:eastAsia="Calibri" w:hAnsi="Calibri" w:cs="Calibri"/>
                <w:color w:val="auto"/>
              </w:rPr>
              <w:t>(gene)</w:t>
            </w:r>
          </w:p>
        </w:tc>
        <w:tc>
          <w:tcPr>
            <w:tcW w:w="1890" w:type="dxa"/>
            <w:gridSpan w:val="2"/>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Genotype/Allele </w:t>
            </w:r>
          </w:p>
        </w:tc>
        <w:tc>
          <w:tcPr>
            <w:tcW w:w="1185"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Controls</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 (%)</w:t>
            </w:r>
          </w:p>
        </w:tc>
        <w:tc>
          <w:tcPr>
            <w:tcW w:w="1496"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Schizophrenia </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 (%)</w:t>
            </w:r>
          </w:p>
        </w:tc>
        <w:tc>
          <w:tcPr>
            <w:tcW w:w="1496"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Schizophrenia + cannabis dependence</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 (%)</w:t>
            </w:r>
          </w:p>
        </w:tc>
        <w:tc>
          <w:tcPr>
            <w:tcW w:w="1342"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Cannabis dependence </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 (%)</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val="restart"/>
            <w:shd w:val="clear" w:color="auto" w:fill="FFFFFF"/>
          </w:tcPr>
          <w:p w:rsidR="003E7904" w:rsidRPr="00AF3362" w:rsidRDefault="00BA0F84">
            <w:pPr>
              <w:rPr>
                <w:rFonts w:ascii="Calibri" w:eastAsia="Calibri" w:hAnsi="Calibri" w:cs="Calibri"/>
                <w:color w:val="auto"/>
              </w:rPr>
            </w:pPr>
            <w:r w:rsidRPr="00AF3362">
              <w:rPr>
                <w:rFonts w:ascii="Calibri" w:eastAsia="Calibri" w:hAnsi="Calibri" w:cs="Calibri"/>
                <w:color w:val="auto"/>
              </w:rPr>
              <w:t>(AAT)n (CNR1)</w:t>
            </w:r>
          </w:p>
        </w:tc>
        <w:tc>
          <w:tcPr>
            <w:tcW w:w="1113" w:type="dxa"/>
            <w:vMerge w:val="restart"/>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 xml:space="preserve">Genotype </w:t>
            </w:r>
          </w:p>
        </w:tc>
        <w:tc>
          <w:tcPr>
            <w:tcW w:w="777"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LL</w:t>
            </w:r>
          </w:p>
        </w:tc>
        <w:tc>
          <w:tcPr>
            <w:tcW w:w="118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171 (54,11)</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190 (50,13)</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58 (46,77)</w:t>
            </w:r>
          </w:p>
        </w:tc>
        <w:tc>
          <w:tcPr>
            <w:tcW w:w="1342"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33 (57,89)</w:t>
            </w:r>
          </w:p>
        </w:tc>
      </w:tr>
      <w:tr w:rsidR="00AF3362" w:rsidRPr="00AF3362">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777" w:type="dxa"/>
            <w:shd w:val="clear" w:color="auto" w:fill="BFBFBF"/>
          </w:tcPr>
          <w:p w:rsidR="003E7904" w:rsidRPr="00AF3362" w:rsidRDefault="00BA0F84" w:rsidP="002C482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L</w:t>
            </w:r>
            <w:r w:rsidR="002C4823" w:rsidRPr="00AF3362">
              <w:rPr>
                <w:rFonts w:ascii="Calibri" w:eastAsia="Calibri" w:hAnsi="Calibri" w:cs="Calibri"/>
                <w:b/>
                <w:color w:val="auto"/>
              </w:rPr>
              <w:t>S</w:t>
            </w:r>
          </w:p>
        </w:tc>
        <w:tc>
          <w:tcPr>
            <w:tcW w:w="1185"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116 (36,71)</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145 (38,26)</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52 (41,94)</w:t>
            </w:r>
          </w:p>
        </w:tc>
        <w:tc>
          <w:tcPr>
            <w:tcW w:w="1342"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20 (35,09)</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777" w:type="dxa"/>
          </w:tcPr>
          <w:p w:rsidR="003E7904" w:rsidRPr="00AF3362" w:rsidRDefault="002C4823" w:rsidP="002C482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SS</w:t>
            </w:r>
          </w:p>
        </w:tc>
        <w:tc>
          <w:tcPr>
            <w:tcW w:w="118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29 (9,18)</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44 (11,61)</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14 (11,29)</w:t>
            </w:r>
          </w:p>
        </w:tc>
        <w:tc>
          <w:tcPr>
            <w:tcW w:w="1342"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4 (7,02)</w:t>
            </w:r>
          </w:p>
        </w:tc>
      </w:tr>
      <w:tr w:rsidR="00AF3362" w:rsidRPr="00AF3362">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val="restart"/>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 xml:space="preserve">Allele </w:t>
            </w:r>
          </w:p>
        </w:tc>
        <w:tc>
          <w:tcPr>
            <w:tcW w:w="777"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L</w:t>
            </w:r>
          </w:p>
        </w:tc>
        <w:tc>
          <w:tcPr>
            <w:tcW w:w="1185"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458 (72,47)</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525 (69,26)</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168 (67,74)</w:t>
            </w:r>
          </w:p>
        </w:tc>
        <w:tc>
          <w:tcPr>
            <w:tcW w:w="1342"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86 (75,44)</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777" w:type="dxa"/>
            <w:shd w:val="clear" w:color="auto" w:fill="FFFFFF"/>
          </w:tcPr>
          <w:p w:rsidR="003E7904" w:rsidRPr="00AF3362" w:rsidRDefault="002C482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S</w:t>
            </w:r>
          </w:p>
        </w:tc>
        <w:tc>
          <w:tcPr>
            <w:tcW w:w="1185"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174 (27,53)</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233 (30,74)</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80 (32,26)</w:t>
            </w:r>
          </w:p>
        </w:tc>
        <w:tc>
          <w:tcPr>
            <w:tcW w:w="1342"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28 (24,56)</w:t>
            </w:r>
          </w:p>
        </w:tc>
      </w:tr>
      <w:tr w:rsidR="00AF3362" w:rsidRPr="00AF3362">
        <w:tc>
          <w:tcPr>
            <w:cnfStyle w:val="001000000000" w:firstRow="0" w:lastRow="0" w:firstColumn="1" w:lastColumn="0" w:oddVBand="0" w:evenVBand="0" w:oddHBand="0" w:evenHBand="0" w:firstRowFirstColumn="0" w:firstRowLastColumn="0" w:lastRowFirstColumn="0" w:lastRowLastColumn="0"/>
            <w:tcW w:w="1542" w:type="dxa"/>
            <w:vMerge w:val="restart"/>
          </w:tcPr>
          <w:p w:rsidR="003E7904" w:rsidRPr="00AF3362" w:rsidRDefault="00BA0F84">
            <w:pPr>
              <w:rPr>
                <w:rFonts w:ascii="Calibri" w:eastAsia="Calibri" w:hAnsi="Calibri" w:cs="Calibri"/>
                <w:color w:val="auto"/>
              </w:rPr>
            </w:pPr>
            <w:r w:rsidRPr="00AF3362">
              <w:rPr>
                <w:rFonts w:ascii="Calibri" w:eastAsia="Calibri" w:hAnsi="Calibri" w:cs="Calibri"/>
                <w:color w:val="auto"/>
              </w:rPr>
              <w:t>rs35761398 (CNR2)</w:t>
            </w:r>
          </w:p>
        </w:tc>
        <w:tc>
          <w:tcPr>
            <w:tcW w:w="1113" w:type="dxa"/>
            <w:vMerge w:val="restart"/>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Genotype</w:t>
            </w:r>
          </w:p>
        </w:tc>
        <w:tc>
          <w:tcPr>
            <w:tcW w:w="777"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CC/CC</w:t>
            </w:r>
          </w:p>
        </w:tc>
        <w:tc>
          <w:tcPr>
            <w:tcW w:w="1185"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101 (31,96)</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116 (30,61)</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24 (19,35)</w:t>
            </w:r>
          </w:p>
        </w:tc>
        <w:tc>
          <w:tcPr>
            <w:tcW w:w="1342"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21 (29,58)</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777"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CC/TT</w:t>
            </w:r>
          </w:p>
        </w:tc>
        <w:tc>
          <w:tcPr>
            <w:tcW w:w="1185"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152 (48,10)</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181 (47,76)</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70 (56,45)</w:t>
            </w:r>
          </w:p>
        </w:tc>
        <w:tc>
          <w:tcPr>
            <w:tcW w:w="1342"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34 (47,89)</w:t>
            </w:r>
          </w:p>
        </w:tc>
      </w:tr>
      <w:tr w:rsidR="00AF3362" w:rsidRPr="00AF3362">
        <w:tc>
          <w:tcPr>
            <w:cnfStyle w:val="001000000000" w:firstRow="0" w:lastRow="0" w:firstColumn="1" w:lastColumn="0" w:oddVBand="0" w:evenVBand="0" w:oddHBand="0" w:evenHBand="0" w:firstRowFirstColumn="0" w:firstRowLastColumn="0" w:lastRowFirstColumn="0" w:lastRowLastColumn="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777"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TT/TT</w:t>
            </w:r>
          </w:p>
        </w:tc>
        <w:tc>
          <w:tcPr>
            <w:tcW w:w="1185"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63 (19,94)</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82 (21,64)</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30 (24,19)</w:t>
            </w:r>
          </w:p>
        </w:tc>
        <w:tc>
          <w:tcPr>
            <w:tcW w:w="1342"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16 (22,54)</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Allele</w:t>
            </w:r>
          </w:p>
        </w:tc>
        <w:tc>
          <w:tcPr>
            <w:tcW w:w="777"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CC</w:t>
            </w:r>
          </w:p>
        </w:tc>
        <w:tc>
          <w:tcPr>
            <w:tcW w:w="1185"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354(56,01)</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413 (54,49)</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118 (47,58)</w:t>
            </w:r>
          </w:p>
        </w:tc>
        <w:tc>
          <w:tcPr>
            <w:tcW w:w="1342"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76 (53,52)</w:t>
            </w:r>
          </w:p>
        </w:tc>
      </w:tr>
      <w:tr w:rsidR="00AF3362" w:rsidRPr="00AF3362">
        <w:tc>
          <w:tcPr>
            <w:cnfStyle w:val="001000000000" w:firstRow="0" w:lastRow="0" w:firstColumn="1" w:lastColumn="0" w:oddVBand="0" w:evenVBand="0" w:oddHBand="0" w:evenHBand="0" w:firstRowFirstColumn="0" w:firstRowLastColumn="0" w:lastRowFirstColumn="0" w:lastRowLastColumn="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777"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TT</w:t>
            </w:r>
          </w:p>
        </w:tc>
        <w:tc>
          <w:tcPr>
            <w:tcW w:w="1185"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278 (43,99)</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345 (45,51)</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130 (52,42)</w:t>
            </w:r>
          </w:p>
        </w:tc>
        <w:tc>
          <w:tcPr>
            <w:tcW w:w="1342"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66 (46,48)</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val="restart"/>
            <w:shd w:val="clear" w:color="auto" w:fill="FFFFFF"/>
          </w:tcPr>
          <w:p w:rsidR="003E7904" w:rsidRPr="00AF3362" w:rsidRDefault="00BA0F84">
            <w:pPr>
              <w:rPr>
                <w:rFonts w:ascii="Calibri" w:eastAsia="Calibri" w:hAnsi="Calibri" w:cs="Calibri"/>
                <w:color w:val="auto"/>
              </w:rPr>
            </w:pPr>
            <w:r w:rsidRPr="00AF3362">
              <w:rPr>
                <w:rFonts w:ascii="Calibri" w:eastAsia="Calibri" w:hAnsi="Calibri" w:cs="Calibri"/>
                <w:color w:val="auto"/>
              </w:rPr>
              <w:t>rs324420 (FAAH)</w:t>
            </w:r>
          </w:p>
        </w:tc>
        <w:tc>
          <w:tcPr>
            <w:tcW w:w="1113" w:type="dxa"/>
            <w:vMerge w:val="restart"/>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Genotype</w:t>
            </w:r>
          </w:p>
        </w:tc>
        <w:tc>
          <w:tcPr>
            <w:tcW w:w="777"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CC</w:t>
            </w:r>
          </w:p>
        </w:tc>
        <w:tc>
          <w:tcPr>
            <w:tcW w:w="1185"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202 (63,92)</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254 (67,02)</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90 (72,58)</w:t>
            </w:r>
          </w:p>
        </w:tc>
        <w:tc>
          <w:tcPr>
            <w:tcW w:w="1342"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53 (75,71)</w:t>
            </w:r>
          </w:p>
        </w:tc>
      </w:tr>
      <w:tr w:rsidR="00AF3362" w:rsidRPr="00AF3362">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777"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CA</w:t>
            </w:r>
          </w:p>
        </w:tc>
        <w:tc>
          <w:tcPr>
            <w:tcW w:w="1185"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104 (32,91)</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107 (28,23)</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31 (25,00)</w:t>
            </w:r>
          </w:p>
        </w:tc>
        <w:tc>
          <w:tcPr>
            <w:tcW w:w="1342"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 (15,71)</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777"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AA</w:t>
            </w:r>
          </w:p>
        </w:tc>
        <w:tc>
          <w:tcPr>
            <w:tcW w:w="1185"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10 (3,16)</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18 (4,75)</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 (2,42)</w:t>
            </w:r>
          </w:p>
        </w:tc>
        <w:tc>
          <w:tcPr>
            <w:tcW w:w="1342"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6 (8,57)</w:t>
            </w:r>
          </w:p>
        </w:tc>
      </w:tr>
      <w:tr w:rsidR="00AF3362" w:rsidRPr="00AF3362">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val="restart"/>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Allele</w:t>
            </w:r>
          </w:p>
        </w:tc>
        <w:tc>
          <w:tcPr>
            <w:tcW w:w="777"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w:t>
            </w:r>
          </w:p>
        </w:tc>
        <w:tc>
          <w:tcPr>
            <w:tcW w:w="1185"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508 (80,38)</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615 (81,13)</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211 (85,08)</w:t>
            </w:r>
          </w:p>
        </w:tc>
        <w:tc>
          <w:tcPr>
            <w:tcW w:w="1342"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117 (83,57)</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777"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A</w:t>
            </w:r>
          </w:p>
        </w:tc>
        <w:tc>
          <w:tcPr>
            <w:tcW w:w="1185"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124 (19,62)</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143 (18,87)</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37 (14,92)</w:t>
            </w:r>
          </w:p>
        </w:tc>
        <w:tc>
          <w:tcPr>
            <w:tcW w:w="1342"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23 (16,43)</w:t>
            </w:r>
          </w:p>
        </w:tc>
      </w:tr>
    </w:tbl>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2C4823">
      <w:pPr>
        <w:spacing w:line="276" w:lineRule="auto"/>
        <w:jc w:val="both"/>
        <w:rPr>
          <w:rFonts w:ascii="Arial" w:eastAsia="Arial" w:hAnsi="Arial" w:cs="Arial"/>
          <w:sz w:val="20"/>
          <w:szCs w:val="20"/>
        </w:rPr>
      </w:pPr>
      <w:r w:rsidRPr="00AF3362">
        <w:rPr>
          <w:rFonts w:ascii="Arial" w:eastAsia="Arial" w:hAnsi="Arial" w:cs="Arial"/>
          <w:sz w:val="20"/>
          <w:szCs w:val="20"/>
        </w:rPr>
        <w:t>L=long allele. S=short allele.</w:t>
      </w: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2C4823" w:rsidRPr="00AF3362" w:rsidRDefault="002C4823" w:rsidP="002C4823">
      <w:pPr>
        <w:spacing w:line="276" w:lineRule="auto"/>
        <w:jc w:val="both"/>
        <w:rPr>
          <w:rFonts w:eastAsia="Arial"/>
        </w:rPr>
      </w:pPr>
      <w:r w:rsidRPr="00AF3362">
        <w:rPr>
          <w:rFonts w:eastAsia="Arial"/>
        </w:rPr>
        <w:t xml:space="preserve">Table 6. Association results for frequency contrast between cannabis dependent group and controls/schizophrenia + cannabis dependence groups. </w:t>
      </w: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tbl>
      <w:tblPr>
        <w:tblStyle w:val="a2"/>
        <w:tblW w:w="8719"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497"/>
        <w:gridCol w:w="1542"/>
        <w:gridCol w:w="1474"/>
        <w:gridCol w:w="940"/>
        <w:gridCol w:w="653"/>
        <w:gridCol w:w="901"/>
        <w:gridCol w:w="878"/>
      </w:tblGrid>
      <w:tr w:rsidR="00AF3362" w:rsidRPr="00AF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gridSpan w:val="2"/>
          </w:tcPr>
          <w:p w:rsidR="003E7904" w:rsidRPr="00AF3362" w:rsidRDefault="003E7904">
            <w:pPr>
              <w:rPr>
                <w:rFonts w:ascii="Calibri" w:eastAsia="Calibri" w:hAnsi="Calibri" w:cs="Calibri"/>
                <w:color w:val="auto"/>
              </w:rPr>
            </w:pPr>
          </w:p>
        </w:tc>
        <w:tc>
          <w:tcPr>
            <w:tcW w:w="1542"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Polymorphism</w:t>
            </w:r>
          </w:p>
        </w:tc>
        <w:tc>
          <w:tcPr>
            <w:tcW w:w="1474"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Model-Adjustment procedure</w:t>
            </w:r>
            <w:r w:rsidRPr="00AF3362">
              <w:rPr>
                <w:rFonts w:ascii="Calibri" w:eastAsia="Calibri" w:hAnsi="Calibri" w:cs="Calibri"/>
                <w:i/>
                <w:color w:val="auto"/>
              </w:rPr>
              <w:t xml:space="preserve"> </w:t>
            </w:r>
          </w:p>
        </w:tc>
        <w:tc>
          <w:tcPr>
            <w:tcW w:w="940" w:type="dxa"/>
          </w:tcPr>
          <w:p w:rsidR="003E7904" w:rsidRPr="00AF3362" w:rsidRDefault="00BA0F84">
            <w:pPr>
              <w:spacing w:before="96" w:after="96"/>
              <w:jc w:val="center"/>
              <w:cnfStyle w:val="100000000000" w:firstRow="1" w:lastRow="0" w:firstColumn="0" w:lastColumn="0" w:oddVBand="0" w:evenVBand="0" w:oddHBand="0" w:evenHBand="0" w:firstRowFirstColumn="0" w:firstRowLastColumn="0" w:lastRowFirstColumn="0" w:lastRowLastColumn="0"/>
              <w:rPr>
                <w:rFonts w:ascii="Noto Sans Symbols" w:eastAsia="Noto Sans Symbols" w:hAnsi="Noto Sans Symbols" w:cs="Noto Sans Symbols"/>
                <w:color w:val="auto"/>
              </w:rPr>
            </w:pPr>
            <w:r w:rsidRPr="00AF3362">
              <w:rPr>
                <w:rFonts w:ascii="Noto Sans Symbols" w:eastAsia="Noto Sans Symbols" w:hAnsi="Noto Sans Symbols" w:cs="Noto Sans Symbols"/>
                <w:color w:val="auto"/>
              </w:rPr>
              <w:t xml:space="preserve">χ </w:t>
            </w:r>
            <w:r w:rsidRPr="00AF3362">
              <w:rPr>
                <w:rFonts w:ascii="Noto Sans Symbols" w:eastAsia="Noto Sans Symbols" w:hAnsi="Noto Sans Symbols" w:cs="Noto Sans Symbols"/>
                <w:color w:val="auto"/>
                <w:vertAlign w:val="superscript"/>
              </w:rPr>
              <w:t>2</w:t>
            </w:r>
          </w:p>
        </w:tc>
        <w:tc>
          <w:tcPr>
            <w:tcW w:w="653" w:type="dxa"/>
          </w:tcPr>
          <w:p w:rsidR="003E7904" w:rsidRPr="00AF3362" w:rsidRDefault="00EA3122" w:rsidP="00EA3122">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D.F.</w:t>
            </w:r>
          </w:p>
        </w:tc>
        <w:tc>
          <w:tcPr>
            <w:tcW w:w="901"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i/>
                <w:color w:val="auto"/>
              </w:rPr>
              <w:t>p</w:t>
            </w:r>
            <w:r w:rsidRPr="00AF3362">
              <w:rPr>
                <w:rFonts w:ascii="Calibri" w:eastAsia="Calibri" w:hAnsi="Calibri" w:cs="Calibri"/>
                <w:color w:val="auto"/>
              </w:rPr>
              <w:t>-value</w:t>
            </w:r>
          </w:p>
        </w:tc>
        <w:tc>
          <w:tcPr>
            <w:tcW w:w="878"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ODDS-R (95% IC)</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val="restart"/>
            <w:shd w:val="clear" w:color="auto" w:fill="FFFFFF"/>
          </w:tcPr>
          <w:p w:rsidR="003E7904" w:rsidRPr="00AF3362" w:rsidRDefault="003E7904">
            <w:pPr>
              <w:rPr>
                <w:rFonts w:ascii="Calibri" w:eastAsia="Calibri" w:hAnsi="Calibri" w:cs="Calibri"/>
                <w:color w:val="auto"/>
              </w:rPr>
            </w:pPr>
          </w:p>
          <w:p w:rsidR="003E7904" w:rsidRPr="00AF3362" w:rsidRDefault="00BA0F84">
            <w:pPr>
              <w:jc w:val="center"/>
              <w:rPr>
                <w:rFonts w:ascii="Calibri" w:eastAsia="Calibri" w:hAnsi="Calibri" w:cs="Calibri"/>
                <w:color w:val="auto"/>
              </w:rPr>
            </w:pPr>
            <w:r w:rsidRPr="00AF3362">
              <w:rPr>
                <w:rFonts w:ascii="Calibri" w:eastAsia="Calibri" w:hAnsi="Calibri" w:cs="Calibri"/>
                <w:color w:val="auto"/>
              </w:rPr>
              <w:t>Cannabis dependent</w:t>
            </w:r>
          </w:p>
        </w:tc>
        <w:tc>
          <w:tcPr>
            <w:tcW w:w="1497"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 xml:space="preserve">Schizophrenia + cannabis dependence </w:t>
            </w:r>
          </w:p>
          <w:p w:rsidR="003E7904" w:rsidRPr="00AF3362" w:rsidRDefault="003E790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p>
        </w:tc>
        <w:tc>
          <w:tcPr>
            <w:tcW w:w="1542" w:type="dxa"/>
            <w:vMerge w:val="restart"/>
            <w:shd w:val="clear" w:color="auto" w:fill="FFFFFF"/>
          </w:tcPr>
          <w:p w:rsidR="003E7904" w:rsidRPr="00AF3362"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rs35761398 (CNR2)</w:t>
            </w:r>
          </w:p>
        </w:tc>
        <w:tc>
          <w:tcPr>
            <w:tcW w:w="1474" w:type="dxa"/>
          </w:tcPr>
          <w:p w:rsidR="003E7904" w:rsidRPr="00AF3362"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2,0365</w:t>
            </w:r>
          </w:p>
        </w:tc>
        <w:tc>
          <w:tcPr>
            <w:tcW w:w="653" w:type="dxa"/>
          </w:tcPr>
          <w:p w:rsidR="003E7904" w:rsidRPr="00AF3362"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0,3612</w:t>
            </w:r>
          </w:p>
        </w:tc>
        <w:tc>
          <w:tcPr>
            <w:tcW w:w="878" w:type="dxa"/>
          </w:tcPr>
          <w:p w:rsidR="003E7904" w:rsidRPr="00AF3362" w:rsidRDefault="003E790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r>
      <w:tr w:rsidR="00AF3362" w:rsidRPr="00AF3362">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Alelles</w:t>
            </w:r>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0,9904</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0,3196</w:t>
            </w:r>
          </w:p>
        </w:tc>
        <w:tc>
          <w:tcPr>
            <w:tcW w:w="878"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1,23 [0,82 ; 1,86]</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Dominant</w:t>
            </w:r>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2,0075</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0,1565</w:t>
            </w:r>
          </w:p>
        </w:tc>
        <w:tc>
          <w:tcPr>
            <w:tcW w:w="878"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1,63 [0,83 ; 3,23]</w:t>
            </w:r>
          </w:p>
        </w:tc>
      </w:tr>
      <w:tr w:rsidR="00AF3362" w:rsidRPr="00AF3362">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val="restart"/>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rs324420 (FAAH)</w:t>
            </w: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5,4918</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0,0642</w:t>
            </w:r>
          </w:p>
        </w:tc>
        <w:tc>
          <w:tcPr>
            <w:tcW w:w="878" w:type="dxa"/>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Alelles</w:t>
            </w:r>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0,1559</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0,6930</w:t>
            </w:r>
          </w:p>
        </w:tc>
        <w:tc>
          <w:tcPr>
            <w:tcW w:w="878"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0,89 [0,51 ; 1,57]</w:t>
            </w:r>
          </w:p>
        </w:tc>
      </w:tr>
      <w:tr w:rsidR="00AF3362" w:rsidRPr="00AF3362">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Heterocygosis</w:t>
            </w:r>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2,2743</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0,1315</w:t>
            </w:r>
          </w:p>
        </w:tc>
        <w:tc>
          <w:tcPr>
            <w:tcW w:w="878"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0,56 [0,26 ; 1,20]</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Controls</w:t>
            </w:r>
          </w:p>
        </w:tc>
        <w:tc>
          <w:tcPr>
            <w:tcW w:w="1542"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 xml:space="preserve"> (AAT)n (CNR1)</w:t>
            </w:r>
          </w:p>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 xml:space="preserve"> </w:t>
            </w: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0,3618</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0,8345</w:t>
            </w:r>
          </w:p>
        </w:tc>
        <w:tc>
          <w:tcPr>
            <w:tcW w:w="878" w:type="dxa"/>
          </w:tcPr>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r>
      <w:tr w:rsidR="00AF3362" w:rsidRPr="00AF3362">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Alelles</w:t>
            </w:r>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0,3177</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0,5730</w:t>
            </w:r>
          </w:p>
        </w:tc>
        <w:tc>
          <w:tcPr>
            <w:tcW w:w="878"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0,88 [0,56 ; 1,38]</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542"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rs35761398 (CNR2)</w:t>
            </w: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0,4757</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0,7883</w:t>
            </w:r>
          </w:p>
        </w:tc>
        <w:tc>
          <w:tcPr>
            <w:tcW w:w="878" w:type="dxa"/>
          </w:tcPr>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r>
      <w:tr w:rsidR="00AF3362" w:rsidRPr="00AF3362">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Alelles</w:t>
            </w:r>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0,4793</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0,4887</w:t>
            </w:r>
          </w:p>
        </w:tc>
        <w:tc>
          <w:tcPr>
            <w:tcW w:w="878"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1,14 [0,79 ; 1,64]</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542"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rs324420 (FAAH)</w:t>
            </w: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10,9360</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0,0042</w:t>
            </w:r>
          </w:p>
        </w:tc>
        <w:tc>
          <w:tcPr>
            <w:tcW w:w="878" w:type="dxa"/>
          </w:tcPr>
          <w:p w:rsidR="003E7904" w:rsidRPr="00AF3362" w:rsidRDefault="002C4823" w:rsidP="0002555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2,74 [1,45 ; 5,</w:t>
            </w:r>
            <w:r w:rsidR="00025551" w:rsidRPr="00AF3362">
              <w:rPr>
                <w:rFonts w:ascii="Calibri" w:eastAsia="Calibri" w:hAnsi="Calibri" w:cs="Calibri"/>
                <w:color w:val="auto"/>
              </w:rPr>
              <w:t>31</w:t>
            </w:r>
            <w:r w:rsidRPr="00AF3362">
              <w:rPr>
                <w:rFonts w:ascii="Calibri" w:eastAsia="Calibri" w:hAnsi="Calibri" w:cs="Calibri"/>
                <w:color w:val="auto"/>
              </w:rPr>
              <w:t>]</w:t>
            </w:r>
          </w:p>
        </w:tc>
      </w:tr>
      <w:tr w:rsidR="00AF3362" w:rsidRPr="00AF3362">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Alelles</w:t>
            </w:r>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0,7574</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0,3842</w:t>
            </w:r>
          </w:p>
        </w:tc>
        <w:tc>
          <w:tcPr>
            <w:tcW w:w="878"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0,81 [0,49 ; 1,31]</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Heterocygosis</w:t>
            </w:r>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8,1024</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0,0044</w:t>
            </w:r>
          </w:p>
        </w:tc>
        <w:tc>
          <w:tcPr>
            <w:tcW w:w="878"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2,63 [1,33 ; 5,22]</w:t>
            </w:r>
          </w:p>
        </w:tc>
      </w:tr>
    </w:tbl>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025551" w:rsidRPr="00AF3362" w:rsidRDefault="00025551" w:rsidP="00025551">
      <w:pPr>
        <w:spacing w:after="160" w:line="259" w:lineRule="auto"/>
        <w:rPr>
          <w:rFonts w:eastAsia="Arial"/>
        </w:rPr>
      </w:pPr>
      <w:r w:rsidRPr="00AF3362">
        <w:rPr>
          <w:rFonts w:eastAsia="Arial"/>
        </w:rPr>
        <w:t>Table 7. Association results for frequency contrast in rs35761398 between dual group and controls/schizophrenia groups.</w:t>
      </w: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tbl>
      <w:tblPr>
        <w:tblStyle w:val="a3"/>
        <w:tblW w:w="945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1606"/>
        <w:gridCol w:w="2072"/>
        <w:gridCol w:w="739"/>
        <w:gridCol w:w="1595"/>
        <w:gridCol w:w="939"/>
        <w:gridCol w:w="939"/>
        <w:gridCol w:w="801"/>
      </w:tblGrid>
      <w:tr w:rsidR="00AF3362" w:rsidRPr="00AF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Gene</w:t>
            </w:r>
          </w:p>
        </w:tc>
        <w:tc>
          <w:tcPr>
            <w:tcW w:w="1606"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Polymorphism</w:t>
            </w:r>
          </w:p>
        </w:tc>
        <w:tc>
          <w:tcPr>
            <w:tcW w:w="2072"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 xml:space="preserve">Model </w:t>
            </w:r>
          </w:p>
        </w:tc>
        <w:tc>
          <w:tcPr>
            <w:tcW w:w="2334" w:type="dxa"/>
            <w:gridSpan w:val="2"/>
          </w:tcPr>
          <w:p w:rsidR="003E7904" w:rsidRPr="00AF3362" w:rsidRDefault="00BA0F84">
            <w:pPr>
              <w:spacing w:before="40" w:after="40"/>
              <w:jc w:val="center"/>
              <w:cnfStyle w:val="100000000000" w:firstRow="1" w:lastRow="0" w:firstColumn="0" w:lastColumn="0" w:oddVBand="0" w:evenVBand="0" w:oddHBand="0" w:evenHBand="0" w:firstRowFirstColumn="0" w:firstRowLastColumn="0" w:lastRowFirstColumn="0" w:lastRowLastColumn="0"/>
              <w:rPr>
                <w:rFonts w:ascii="Noto Sans Symbols" w:eastAsia="Noto Sans Symbols" w:hAnsi="Noto Sans Symbols" w:cs="Noto Sans Symbols"/>
                <w:color w:val="auto"/>
                <w:sz w:val="16"/>
                <w:szCs w:val="16"/>
              </w:rPr>
            </w:pPr>
            <w:r w:rsidRPr="00AF3362">
              <w:rPr>
                <w:rFonts w:ascii="Arial" w:eastAsia="Arial" w:hAnsi="Arial" w:cs="Arial"/>
                <w:color w:val="auto"/>
                <w:sz w:val="20"/>
                <w:szCs w:val="20"/>
              </w:rPr>
              <w:t>Groups</w:t>
            </w:r>
          </w:p>
        </w:tc>
        <w:tc>
          <w:tcPr>
            <w:tcW w:w="939" w:type="dxa"/>
          </w:tcPr>
          <w:p w:rsidR="003E7904" w:rsidRPr="00AF3362" w:rsidRDefault="00BA0F84">
            <w:pPr>
              <w:spacing w:before="40" w:after="40"/>
              <w:jc w:val="center"/>
              <w:cnfStyle w:val="100000000000" w:firstRow="1" w:lastRow="0" w:firstColumn="0" w:lastColumn="0" w:oddVBand="0" w:evenVBand="0" w:oddHBand="0" w:evenHBand="0" w:firstRowFirstColumn="0" w:firstRowLastColumn="0" w:lastRowFirstColumn="0" w:lastRowLastColumn="0"/>
              <w:rPr>
                <w:rFonts w:ascii="Noto Sans Symbols" w:eastAsia="Noto Sans Symbols" w:hAnsi="Noto Sans Symbols" w:cs="Noto Sans Symbols"/>
                <w:color w:val="auto"/>
                <w:sz w:val="16"/>
                <w:szCs w:val="16"/>
              </w:rPr>
            </w:pPr>
            <w:r w:rsidRPr="00AF3362">
              <w:rPr>
                <w:rFonts w:ascii="Noto Sans Symbols" w:eastAsia="Noto Sans Symbols" w:hAnsi="Noto Sans Symbols" w:cs="Noto Sans Symbols"/>
                <w:color w:val="auto"/>
                <w:sz w:val="16"/>
                <w:szCs w:val="16"/>
              </w:rPr>
              <w:t>χ 2</w:t>
            </w:r>
          </w:p>
        </w:tc>
        <w:tc>
          <w:tcPr>
            <w:tcW w:w="939" w:type="dxa"/>
          </w:tcPr>
          <w:p w:rsidR="003E7904" w:rsidRPr="00AF3362" w:rsidRDefault="00BA0F84">
            <w:pPr>
              <w:spacing w:before="96" w:after="96"/>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 xml:space="preserve"> P value.</w:t>
            </w:r>
          </w:p>
        </w:tc>
        <w:tc>
          <w:tcPr>
            <w:tcW w:w="801" w:type="dxa"/>
          </w:tcPr>
          <w:p w:rsidR="003E7904" w:rsidRPr="00AF3362" w:rsidRDefault="00BA0F8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ODDS-R (95% IC)</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vMerge w:val="restart"/>
            <w:shd w:val="clear" w:color="auto" w:fill="BFBFBF"/>
          </w:tcPr>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BA0F84">
            <w:pPr>
              <w:rPr>
                <w:rFonts w:ascii="Arial" w:eastAsia="Arial" w:hAnsi="Arial" w:cs="Arial"/>
                <w:color w:val="auto"/>
                <w:sz w:val="20"/>
                <w:szCs w:val="20"/>
              </w:rPr>
            </w:pPr>
            <w:r w:rsidRPr="00AF3362">
              <w:rPr>
                <w:rFonts w:ascii="Arial" w:eastAsia="Arial" w:hAnsi="Arial" w:cs="Arial"/>
                <w:color w:val="auto"/>
                <w:sz w:val="16"/>
                <w:szCs w:val="16"/>
              </w:rPr>
              <w:t>CNR2</w:t>
            </w:r>
          </w:p>
        </w:tc>
        <w:tc>
          <w:tcPr>
            <w:tcW w:w="1606" w:type="dxa"/>
            <w:vMerge w:val="restart"/>
            <w:shd w:val="clear" w:color="auto" w:fill="BFBFBF"/>
          </w:tcPr>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p>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p>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p>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p>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p>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16"/>
                <w:szCs w:val="16"/>
              </w:rPr>
              <w:t>rs35761398</w:t>
            </w:r>
          </w:p>
        </w:tc>
        <w:tc>
          <w:tcPr>
            <w:tcW w:w="2072" w:type="dxa"/>
            <w:vMerge w:val="restart"/>
            <w:shd w:val="clear" w:color="auto" w:fill="BFBFBF"/>
          </w:tcPr>
          <w:p w:rsidR="003E7904" w:rsidRPr="00AF3362" w:rsidRDefault="003E790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p w:rsidR="003E7904" w:rsidRPr="00AF3362" w:rsidRDefault="003E790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p w:rsidR="003E7904" w:rsidRPr="00AF3362" w:rsidRDefault="003E790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p w:rsidR="003E7904" w:rsidRPr="00AF3362" w:rsidRDefault="00BA0F8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Dominant (CC/TT+TT/TT)</w:t>
            </w:r>
          </w:p>
        </w:tc>
        <w:tc>
          <w:tcPr>
            <w:tcW w:w="739" w:type="dxa"/>
            <w:vMerge w:val="restart"/>
            <w:shd w:val="clear" w:color="auto" w:fill="FFFFFF"/>
          </w:tcPr>
          <w:p w:rsidR="003E7904" w:rsidRPr="00AF3362"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Dual</w:t>
            </w:r>
          </w:p>
        </w:tc>
        <w:tc>
          <w:tcPr>
            <w:tcW w:w="1595" w:type="dxa"/>
            <w:shd w:val="clear" w:color="auto" w:fill="FFFFFF"/>
          </w:tcPr>
          <w:p w:rsidR="003E7904" w:rsidRPr="00AF3362"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Controls</w:t>
            </w:r>
          </w:p>
        </w:tc>
        <w:tc>
          <w:tcPr>
            <w:tcW w:w="939" w:type="dxa"/>
            <w:shd w:val="clear" w:color="auto" w:fill="FFFFFF"/>
          </w:tcPr>
          <w:p w:rsidR="003E7904" w:rsidRPr="00AF3362"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6,9595</w:t>
            </w:r>
          </w:p>
        </w:tc>
        <w:tc>
          <w:tcPr>
            <w:tcW w:w="939" w:type="dxa"/>
            <w:shd w:val="clear" w:color="auto" w:fill="FFFFFF"/>
          </w:tcPr>
          <w:p w:rsidR="003E7904" w:rsidRPr="00AF3362"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0,0083</w:t>
            </w:r>
          </w:p>
        </w:tc>
        <w:tc>
          <w:tcPr>
            <w:tcW w:w="801" w:type="dxa"/>
            <w:shd w:val="clear" w:color="auto" w:fill="FFFFFF"/>
          </w:tcPr>
          <w:p w:rsidR="003E7904" w:rsidRPr="00AF3362"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1,96 [1,18 ; 3,24]</w:t>
            </w:r>
          </w:p>
        </w:tc>
      </w:tr>
      <w:tr w:rsidR="00AF3362" w:rsidRPr="00AF3362">
        <w:tc>
          <w:tcPr>
            <w:cnfStyle w:val="001000000000" w:firstRow="0" w:lastRow="0" w:firstColumn="1" w:lastColumn="0" w:oddVBand="0" w:evenVBand="0" w:oddHBand="0" w:evenHBand="0" w:firstRowFirstColumn="0" w:firstRowLastColumn="0" w:lastRowFirstColumn="0" w:lastRowLastColumn="0"/>
            <w:tcW w:w="763" w:type="dxa"/>
            <w:vMerge/>
            <w:shd w:val="clear" w:color="auto" w:fill="BFBFBF"/>
          </w:tcPr>
          <w:p w:rsidR="003E7904" w:rsidRPr="00AF3362" w:rsidRDefault="003E7904">
            <w:pPr>
              <w:widowControl w:val="0"/>
              <w:pBdr>
                <w:top w:val="nil"/>
                <w:left w:val="nil"/>
                <w:bottom w:val="nil"/>
                <w:right w:val="nil"/>
                <w:between w:val="nil"/>
              </w:pBdr>
              <w:spacing w:line="276" w:lineRule="auto"/>
              <w:rPr>
                <w:rFonts w:ascii="Arial" w:eastAsia="Arial" w:hAnsi="Arial" w:cs="Arial"/>
                <w:color w:val="auto"/>
                <w:sz w:val="20"/>
                <w:szCs w:val="20"/>
              </w:rPr>
            </w:pPr>
          </w:p>
        </w:tc>
        <w:tc>
          <w:tcPr>
            <w:tcW w:w="1606"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2072"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739"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1595" w:type="dxa"/>
            <w:shd w:val="clear" w:color="auto" w:fill="FFFFFF"/>
          </w:tcPr>
          <w:p w:rsidR="003E7904" w:rsidRPr="00AF3362" w:rsidRDefault="00BA0F8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 xml:space="preserve">Schizophrenia </w:t>
            </w:r>
          </w:p>
        </w:tc>
        <w:tc>
          <w:tcPr>
            <w:tcW w:w="939" w:type="dxa"/>
            <w:shd w:val="clear" w:color="auto" w:fill="FFFFFF"/>
          </w:tcPr>
          <w:p w:rsidR="003E7904" w:rsidRPr="00AF3362" w:rsidRDefault="00BA0F84">
            <w:pPr>
              <w:spacing w:before="40" w:after="40"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5,8892</w:t>
            </w:r>
          </w:p>
        </w:tc>
        <w:tc>
          <w:tcPr>
            <w:tcW w:w="939" w:type="dxa"/>
            <w:shd w:val="clear" w:color="auto" w:fill="FFFFFF"/>
          </w:tcPr>
          <w:p w:rsidR="003E7904" w:rsidRPr="00AF3362" w:rsidRDefault="00BA0F84">
            <w:pPr>
              <w:spacing w:before="40" w:after="40"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0,0152</w:t>
            </w:r>
          </w:p>
        </w:tc>
        <w:tc>
          <w:tcPr>
            <w:tcW w:w="801" w:type="dxa"/>
            <w:shd w:val="clear" w:color="auto" w:fill="FFFFFF"/>
          </w:tcPr>
          <w:p w:rsidR="003E7904" w:rsidRPr="00AF3362" w:rsidRDefault="00BA0F84">
            <w:pPr>
              <w:spacing w:before="40" w:after="40"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1,84 [1,12 ; 3,02]</w:t>
            </w:r>
          </w:p>
        </w:tc>
      </w:tr>
    </w:tbl>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025551">
      <w:pPr>
        <w:spacing w:after="160" w:line="259" w:lineRule="auto"/>
        <w:rPr>
          <w:rFonts w:eastAsia="Arial"/>
        </w:rPr>
      </w:pPr>
      <w:r w:rsidRPr="00AF3362">
        <w:rPr>
          <w:rFonts w:eastAsia="Arial"/>
          <w:b/>
        </w:rPr>
        <w:t>Table 8</w:t>
      </w:r>
      <w:r w:rsidRPr="00AF3362">
        <w:rPr>
          <w:rFonts w:eastAsia="Arial"/>
        </w:rPr>
        <w:t xml:space="preserve">. Association analysis between </w:t>
      </w:r>
      <w:r w:rsidRPr="00AF3362">
        <w:rPr>
          <w:rFonts w:eastAsia="Arial"/>
          <w:i/>
        </w:rPr>
        <w:t>CNR2</w:t>
      </w:r>
      <w:r w:rsidRPr="00AF3362">
        <w:rPr>
          <w:rFonts w:eastAsia="Arial"/>
        </w:rPr>
        <w:t xml:space="preserve"> and </w:t>
      </w:r>
      <w:r w:rsidRPr="00AF3362">
        <w:rPr>
          <w:rFonts w:eastAsia="Arial"/>
          <w:i/>
        </w:rPr>
        <w:t xml:space="preserve">FAAH </w:t>
      </w:r>
      <w:r w:rsidRPr="00AF3362">
        <w:rPr>
          <w:rFonts w:eastAsia="Arial"/>
        </w:rPr>
        <w:t>genes</w:t>
      </w:r>
      <w:r w:rsidRPr="00AF3362">
        <w:rPr>
          <w:rFonts w:eastAsia="Arial"/>
          <w:i/>
        </w:rPr>
        <w:t>.</w:t>
      </w:r>
    </w:p>
    <w:p w:rsidR="003E7904" w:rsidRPr="00AF3362" w:rsidRDefault="003E7904">
      <w:pPr>
        <w:spacing w:after="160" w:line="259" w:lineRule="auto"/>
        <w:rPr>
          <w:rFonts w:ascii="Arial" w:eastAsia="Arial" w:hAnsi="Arial" w:cs="Arial"/>
          <w:sz w:val="20"/>
          <w:szCs w:val="20"/>
        </w:rPr>
      </w:pPr>
    </w:p>
    <w:tbl>
      <w:tblPr>
        <w:tblStyle w:val="a4"/>
        <w:tblW w:w="8836" w:type="dxa"/>
        <w:jc w:val="center"/>
        <w:tblInd w:w="0" w:type="dxa"/>
        <w:tblLayout w:type="fixed"/>
        <w:tblLook w:val="0000" w:firstRow="0" w:lastRow="0" w:firstColumn="0" w:lastColumn="0" w:noHBand="0" w:noVBand="0"/>
      </w:tblPr>
      <w:tblGrid>
        <w:gridCol w:w="1598"/>
        <w:gridCol w:w="1018"/>
        <w:gridCol w:w="2586"/>
        <w:gridCol w:w="872"/>
        <w:gridCol w:w="706"/>
        <w:gridCol w:w="850"/>
        <w:gridCol w:w="1206"/>
      </w:tblGrid>
      <w:tr w:rsidR="00AF3362" w:rsidRPr="00AF3362">
        <w:trPr>
          <w:trHeight w:val="527"/>
          <w:jc w:val="center"/>
        </w:trPr>
        <w:tc>
          <w:tcPr>
            <w:tcW w:w="1598"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Genotype</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rs35761398 – rs324420</w:t>
            </w:r>
          </w:p>
        </w:tc>
        <w:tc>
          <w:tcPr>
            <w:tcW w:w="1018"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Controls (a) </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N (%)</w:t>
            </w:r>
          </w:p>
        </w:tc>
        <w:tc>
          <w:tcPr>
            <w:tcW w:w="2586"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Schizophrenia + Cannabis dependence (b) </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 N (%)</w:t>
            </w:r>
          </w:p>
        </w:tc>
        <w:tc>
          <w:tcPr>
            <w:tcW w:w="872"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Ratio</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 (%a </w:t>
            </w:r>
            <w:r w:rsidRPr="00AF3362">
              <w:rPr>
                <w:rFonts w:ascii="Arial" w:eastAsia="Arial" w:hAnsi="Arial" w:cs="Arial"/>
                <w:b/>
                <w:i/>
                <w:sz w:val="20"/>
                <w:szCs w:val="20"/>
              </w:rPr>
              <w:t>/</w:t>
            </w:r>
            <w:r w:rsidRPr="00AF3362">
              <w:rPr>
                <w:rFonts w:ascii="Arial" w:eastAsia="Arial" w:hAnsi="Arial" w:cs="Arial"/>
                <w:b/>
                <w:sz w:val="16"/>
                <w:szCs w:val="16"/>
              </w:rPr>
              <w:t>% b)</w:t>
            </w:r>
          </w:p>
        </w:tc>
        <w:tc>
          <w:tcPr>
            <w:tcW w:w="706" w:type="dxa"/>
            <w:tcBorders>
              <w:bottom w:val="single" w:sz="4" w:space="0" w:color="000000"/>
            </w:tcBorders>
            <w:shd w:val="clear" w:color="auto" w:fill="BFBFBF"/>
            <w:vAlign w:val="center"/>
          </w:tcPr>
          <w:p w:rsidR="003E7904" w:rsidRPr="00AF3362" w:rsidRDefault="00BA0F84">
            <w:pPr>
              <w:spacing w:after="160" w:line="259" w:lineRule="auto"/>
              <w:jc w:val="center"/>
              <w:rPr>
                <w:rFonts w:ascii="Noto Sans Symbols" w:eastAsia="Noto Sans Symbols" w:hAnsi="Noto Sans Symbols" w:cs="Noto Sans Symbols"/>
                <w:b/>
                <w:sz w:val="18"/>
                <w:szCs w:val="18"/>
              </w:rPr>
            </w:pPr>
            <w:r w:rsidRPr="00AF3362">
              <w:rPr>
                <w:rFonts w:ascii="Noto Sans Symbols" w:eastAsia="Noto Sans Symbols" w:hAnsi="Noto Sans Symbols" w:cs="Noto Sans Symbols"/>
                <w:b/>
                <w:sz w:val="18"/>
                <w:szCs w:val="18"/>
              </w:rPr>
              <w:t>χ 2</w:t>
            </w:r>
          </w:p>
        </w:tc>
        <w:tc>
          <w:tcPr>
            <w:tcW w:w="850" w:type="dxa"/>
            <w:tcBorders>
              <w:bottom w:val="single" w:sz="4" w:space="0" w:color="000000"/>
            </w:tcBorders>
            <w:shd w:val="clear" w:color="auto" w:fill="BFBFBF"/>
            <w:vAlign w:val="center"/>
          </w:tcPr>
          <w:p w:rsidR="003E7904" w:rsidRPr="00AF3362" w:rsidRDefault="00BA0F84">
            <w:pPr>
              <w:spacing w:after="160" w:line="259" w:lineRule="auto"/>
              <w:rPr>
                <w:rFonts w:ascii="Arial" w:eastAsia="Arial" w:hAnsi="Arial" w:cs="Arial"/>
                <w:b/>
                <w:sz w:val="16"/>
                <w:szCs w:val="16"/>
              </w:rPr>
            </w:pPr>
            <w:r w:rsidRPr="00AF3362">
              <w:rPr>
                <w:rFonts w:ascii="Arial" w:eastAsia="Arial" w:hAnsi="Arial" w:cs="Arial"/>
                <w:b/>
                <w:i/>
                <w:sz w:val="16"/>
                <w:szCs w:val="16"/>
              </w:rPr>
              <w:t>p</w:t>
            </w:r>
            <w:r w:rsidRPr="00AF3362">
              <w:rPr>
                <w:rFonts w:ascii="Arial" w:eastAsia="Arial" w:hAnsi="Arial" w:cs="Arial"/>
                <w:b/>
                <w:sz w:val="16"/>
                <w:szCs w:val="16"/>
              </w:rPr>
              <w:t xml:space="preserve">- value </w:t>
            </w:r>
          </w:p>
        </w:tc>
        <w:tc>
          <w:tcPr>
            <w:tcW w:w="1206" w:type="dxa"/>
            <w:tcBorders>
              <w:bottom w:val="single" w:sz="4" w:space="0" w:color="000000"/>
            </w:tcBorders>
            <w:shd w:val="clear" w:color="auto" w:fill="BFBFBF"/>
            <w:vAlign w:val="center"/>
          </w:tcPr>
          <w:p w:rsidR="003E7904" w:rsidRPr="00AF3362" w:rsidRDefault="00BA0F84">
            <w:pPr>
              <w:spacing w:after="160" w:line="259" w:lineRule="auto"/>
              <w:rPr>
                <w:rFonts w:ascii="Arial" w:eastAsia="Arial" w:hAnsi="Arial" w:cs="Arial"/>
                <w:b/>
                <w:sz w:val="16"/>
                <w:szCs w:val="16"/>
              </w:rPr>
            </w:pPr>
            <w:r w:rsidRPr="00AF3362">
              <w:rPr>
                <w:rFonts w:ascii="Arial" w:eastAsia="Arial" w:hAnsi="Arial" w:cs="Arial"/>
                <w:b/>
                <w:sz w:val="16"/>
                <w:szCs w:val="16"/>
              </w:rPr>
              <w:t>ODDS-R (95% CI)</w:t>
            </w:r>
          </w:p>
        </w:tc>
      </w:tr>
      <w:tr w:rsidR="00AF3362" w:rsidRPr="00AF3362">
        <w:trPr>
          <w:trHeight w:val="263"/>
          <w:jc w:val="center"/>
        </w:trPr>
        <w:tc>
          <w:tcPr>
            <w:tcW w:w="1598" w:type="dxa"/>
            <w:tcBorders>
              <w:top w:val="single" w:sz="4" w:space="0" w:color="000000"/>
            </w:tcBorders>
            <w:shd w:val="clear" w:color="auto" w:fill="BFBFBF"/>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CC/CC – CC</w:t>
            </w:r>
          </w:p>
        </w:tc>
        <w:tc>
          <w:tcPr>
            <w:tcW w:w="1018"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51 (16,14)</w:t>
            </w:r>
          </w:p>
        </w:tc>
        <w:tc>
          <w:tcPr>
            <w:tcW w:w="2586"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16 (12,90)</w:t>
            </w:r>
          </w:p>
        </w:tc>
        <w:tc>
          <w:tcPr>
            <w:tcW w:w="872" w:type="dxa"/>
            <w:tcBorders>
              <w:top w:val="single" w:sz="4" w:space="0" w:color="000000"/>
            </w:tcBorders>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0,7995</w:t>
            </w:r>
          </w:p>
        </w:tc>
        <w:tc>
          <w:tcPr>
            <w:tcW w:w="706"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0,7224</w:t>
            </w:r>
          </w:p>
        </w:tc>
        <w:tc>
          <w:tcPr>
            <w:tcW w:w="850" w:type="dxa"/>
            <w:tcBorders>
              <w:top w:val="single" w:sz="4" w:space="0" w:color="000000"/>
            </w:tcBorders>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0,3953</w:t>
            </w:r>
          </w:p>
        </w:tc>
        <w:tc>
          <w:tcPr>
            <w:tcW w:w="1206"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0,77 [0,42 ; 1,41]</w:t>
            </w:r>
          </w:p>
        </w:tc>
      </w:tr>
      <w:tr w:rsidR="00AF3362" w:rsidRPr="00AF3362">
        <w:trPr>
          <w:trHeight w:val="263"/>
          <w:jc w:val="center"/>
        </w:trPr>
        <w:tc>
          <w:tcPr>
            <w:tcW w:w="1598" w:type="dxa"/>
            <w:shd w:val="clear" w:color="auto" w:fill="BFBFBF"/>
            <w:vAlign w:val="center"/>
          </w:tcPr>
          <w:p w:rsidR="003E7904" w:rsidRPr="00AF3362" w:rsidRDefault="00BA0F84" w:rsidP="00EA3122">
            <w:pPr>
              <w:spacing w:after="160" w:line="259" w:lineRule="auto"/>
              <w:rPr>
                <w:rFonts w:ascii="Arial" w:eastAsia="Arial" w:hAnsi="Arial" w:cs="Arial"/>
                <w:sz w:val="12"/>
                <w:szCs w:val="12"/>
              </w:rPr>
            </w:pPr>
            <w:r w:rsidRPr="00AF3362">
              <w:rPr>
                <w:rFonts w:ascii="Arial" w:eastAsia="Arial" w:hAnsi="Arial" w:cs="Arial"/>
                <w:sz w:val="16"/>
                <w:szCs w:val="16"/>
              </w:rPr>
              <w:t xml:space="preserve">CC/CC – A </w:t>
            </w:r>
            <w:r w:rsidR="00EA3122" w:rsidRPr="00AF3362">
              <w:rPr>
                <w:rFonts w:ascii="Arial" w:eastAsia="Arial" w:hAnsi="Arial" w:cs="Arial"/>
                <w:sz w:val="12"/>
                <w:szCs w:val="12"/>
              </w:rPr>
              <w:t>carrier</w:t>
            </w:r>
          </w:p>
        </w:tc>
        <w:tc>
          <w:tcPr>
            <w:tcW w:w="1018"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50 (15,82)</w:t>
            </w:r>
          </w:p>
        </w:tc>
        <w:tc>
          <w:tcPr>
            <w:tcW w:w="258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8 (6,45)</w:t>
            </w:r>
          </w:p>
        </w:tc>
        <w:tc>
          <w:tcPr>
            <w:tcW w:w="872" w:type="dxa"/>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0,4077</w:t>
            </w:r>
          </w:p>
        </w:tc>
        <w:tc>
          <w:tcPr>
            <w:tcW w:w="7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6,8337</w:t>
            </w:r>
          </w:p>
        </w:tc>
        <w:tc>
          <w:tcPr>
            <w:tcW w:w="850" w:type="dxa"/>
            <w:shd w:val="clear" w:color="auto" w:fill="auto"/>
            <w:vAlign w:val="center"/>
          </w:tcPr>
          <w:p w:rsidR="003E7904" w:rsidRPr="00AF3362" w:rsidRDefault="00BA0F84">
            <w:pPr>
              <w:spacing w:after="160" w:line="259" w:lineRule="auto"/>
              <w:rPr>
                <w:rFonts w:ascii="Arial" w:eastAsia="Arial" w:hAnsi="Arial" w:cs="Arial"/>
                <w:i/>
                <w:sz w:val="16"/>
                <w:szCs w:val="16"/>
              </w:rPr>
            </w:pPr>
            <w:r w:rsidRPr="00AF3362">
              <w:rPr>
                <w:rFonts w:ascii="Arial" w:eastAsia="Arial" w:hAnsi="Arial" w:cs="Arial"/>
                <w:b/>
                <w:sz w:val="16"/>
                <w:szCs w:val="16"/>
              </w:rPr>
              <w:t>0,0089</w:t>
            </w:r>
            <w:r w:rsidRPr="00AF3362">
              <w:rPr>
                <w:rFonts w:ascii="Arial" w:eastAsia="Arial" w:hAnsi="Arial" w:cs="Arial"/>
                <w:i/>
                <w:sz w:val="16"/>
                <w:szCs w:val="16"/>
              </w:rPr>
              <w:t xml:space="preserve"> (1)</w:t>
            </w:r>
          </w:p>
        </w:tc>
        <w:tc>
          <w:tcPr>
            <w:tcW w:w="12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0,37 [0,17 ; 0,80]</w:t>
            </w:r>
          </w:p>
        </w:tc>
      </w:tr>
      <w:tr w:rsidR="00AF3362" w:rsidRPr="00AF3362">
        <w:trPr>
          <w:trHeight w:val="263"/>
          <w:jc w:val="center"/>
        </w:trPr>
        <w:tc>
          <w:tcPr>
            <w:tcW w:w="1598" w:type="dxa"/>
            <w:shd w:val="clear" w:color="auto" w:fill="BFBFBF"/>
            <w:vAlign w:val="center"/>
          </w:tcPr>
          <w:p w:rsidR="003E7904" w:rsidRPr="00AF3362" w:rsidRDefault="00BA0F84" w:rsidP="00EA3122">
            <w:pPr>
              <w:spacing w:after="160" w:line="259" w:lineRule="auto"/>
              <w:rPr>
                <w:rFonts w:ascii="Arial" w:eastAsia="Arial" w:hAnsi="Arial" w:cs="Arial"/>
                <w:sz w:val="16"/>
                <w:szCs w:val="16"/>
              </w:rPr>
            </w:pPr>
            <w:r w:rsidRPr="00AF3362">
              <w:rPr>
                <w:rFonts w:ascii="Arial" w:eastAsia="Arial" w:hAnsi="Arial" w:cs="Arial"/>
                <w:sz w:val="16"/>
                <w:szCs w:val="16"/>
              </w:rPr>
              <w:t xml:space="preserve">TT </w:t>
            </w:r>
            <w:r w:rsidR="00EA3122" w:rsidRPr="00AF3362">
              <w:rPr>
                <w:rFonts w:ascii="Arial" w:eastAsia="Arial" w:hAnsi="Arial" w:cs="Arial"/>
                <w:sz w:val="12"/>
                <w:szCs w:val="12"/>
              </w:rPr>
              <w:t>carrier</w:t>
            </w:r>
            <w:r w:rsidRPr="00AF3362">
              <w:rPr>
                <w:rFonts w:ascii="Arial" w:eastAsia="Arial" w:hAnsi="Arial" w:cs="Arial"/>
                <w:sz w:val="16"/>
                <w:szCs w:val="16"/>
              </w:rPr>
              <w:t xml:space="preserve"> – CC</w:t>
            </w:r>
          </w:p>
        </w:tc>
        <w:tc>
          <w:tcPr>
            <w:tcW w:w="1018"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151 (47,78)</w:t>
            </w:r>
          </w:p>
        </w:tc>
        <w:tc>
          <w:tcPr>
            <w:tcW w:w="258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74 (59,68)</w:t>
            </w:r>
          </w:p>
        </w:tc>
        <w:tc>
          <w:tcPr>
            <w:tcW w:w="872" w:type="dxa"/>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1,2489</w:t>
            </w:r>
          </w:p>
        </w:tc>
        <w:tc>
          <w:tcPr>
            <w:tcW w:w="7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5,0407</w:t>
            </w:r>
          </w:p>
        </w:tc>
        <w:tc>
          <w:tcPr>
            <w:tcW w:w="850" w:type="dxa"/>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0,0248</w:t>
            </w:r>
          </w:p>
        </w:tc>
        <w:tc>
          <w:tcPr>
            <w:tcW w:w="12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1,62 [1,06 ; 2,46]</w:t>
            </w:r>
          </w:p>
        </w:tc>
      </w:tr>
      <w:tr w:rsidR="00AF3362" w:rsidRPr="00AF3362">
        <w:trPr>
          <w:trHeight w:val="263"/>
          <w:jc w:val="center"/>
        </w:trPr>
        <w:tc>
          <w:tcPr>
            <w:tcW w:w="1598" w:type="dxa"/>
            <w:shd w:val="clear" w:color="auto" w:fill="BFBFBF"/>
            <w:vAlign w:val="center"/>
          </w:tcPr>
          <w:p w:rsidR="003E7904" w:rsidRPr="00AF3362" w:rsidRDefault="00BA0F84" w:rsidP="00EA3122">
            <w:pPr>
              <w:spacing w:after="160" w:line="259" w:lineRule="auto"/>
              <w:rPr>
                <w:rFonts w:ascii="Arial" w:eastAsia="Arial" w:hAnsi="Arial" w:cs="Arial"/>
                <w:sz w:val="16"/>
                <w:szCs w:val="16"/>
              </w:rPr>
            </w:pPr>
            <w:r w:rsidRPr="00AF3362">
              <w:rPr>
                <w:rFonts w:ascii="Arial" w:eastAsia="Arial" w:hAnsi="Arial" w:cs="Arial"/>
                <w:sz w:val="16"/>
                <w:szCs w:val="16"/>
              </w:rPr>
              <w:t xml:space="preserve">TT </w:t>
            </w:r>
            <w:r w:rsidR="00EA3122" w:rsidRPr="00AF3362">
              <w:rPr>
                <w:rFonts w:ascii="Arial" w:eastAsia="Arial" w:hAnsi="Arial" w:cs="Arial"/>
                <w:sz w:val="16"/>
                <w:szCs w:val="16"/>
              </w:rPr>
              <w:t>carrier</w:t>
            </w:r>
            <w:r w:rsidRPr="00AF3362">
              <w:rPr>
                <w:rFonts w:ascii="Arial" w:eastAsia="Arial" w:hAnsi="Arial" w:cs="Arial"/>
                <w:sz w:val="16"/>
                <w:szCs w:val="16"/>
              </w:rPr>
              <w:t xml:space="preserve"> – A </w:t>
            </w:r>
            <w:r w:rsidR="00EA3122" w:rsidRPr="00AF3362">
              <w:rPr>
                <w:rFonts w:ascii="Arial" w:eastAsia="Arial" w:hAnsi="Arial" w:cs="Arial"/>
                <w:sz w:val="12"/>
                <w:szCs w:val="12"/>
              </w:rPr>
              <w:t>carrier</w:t>
            </w:r>
          </w:p>
        </w:tc>
        <w:tc>
          <w:tcPr>
            <w:tcW w:w="1018"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64 (20,25)</w:t>
            </w:r>
          </w:p>
        </w:tc>
        <w:tc>
          <w:tcPr>
            <w:tcW w:w="258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26 (20,97)</w:t>
            </w:r>
          </w:p>
        </w:tc>
        <w:tc>
          <w:tcPr>
            <w:tcW w:w="872" w:type="dxa"/>
            <w:vAlign w:val="center"/>
          </w:tcPr>
          <w:p w:rsidR="003E7904" w:rsidRPr="00AF3362" w:rsidRDefault="00BA0F84">
            <w:pPr>
              <w:tabs>
                <w:tab w:val="left" w:pos="330"/>
                <w:tab w:val="center" w:pos="600"/>
              </w:tabs>
              <w:spacing w:after="160" w:line="259" w:lineRule="auto"/>
              <w:jc w:val="center"/>
              <w:rPr>
                <w:rFonts w:ascii="Arial" w:eastAsia="Arial" w:hAnsi="Arial" w:cs="Arial"/>
                <w:sz w:val="16"/>
                <w:szCs w:val="16"/>
              </w:rPr>
            </w:pPr>
            <w:r w:rsidRPr="00AF3362">
              <w:rPr>
                <w:rFonts w:ascii="Arial" w:eastAsia="Arial" w:hAnsi="Arial" w:cs="Arial"/>
                <w:sz w:val="16"/>
                <w:szCs w:val="16"/>
              </w:rPr>
              <w:t>1,0353</w:t>
            </w:r>
          </w:p>
        </w:tc>
        <w:tc>
          <w:tcPr>
            <w:tcW w:w="7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0,0279</w:t>
            </w:r>
          </w:p>
        </w:tc>
        <w:tc>
          <w:tcPr>
            <w:tcW w:w="850" w:type="dxa"/>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0,8672</w:t>
            </w:r>
          </w:p>
        </w:tc>
        <w:tc>
          <w:tcPr>
            <w:tcW w:w="12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1,04 [0,63 ; 1,74]</w:t>
            </w:r>
          </w:p>
        </w:tc>
      </w:tr>
      <w:tr w:rsidR="00AF3362" w:rsidRPr="00AF3362">
        <w:trPr>
          <w:trHeight w:val="263"/>
          <w:jc w:val="center"/>
        </w:trPr>
        <w:tc>
          <w:tcPr>
            <w:tcW w:w="1598"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c>
          <w:tcPr>
            <w:tcW w:w="1018"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c>
          <w:tcPr>
            <w:tcW w:w="2586"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c>
          <w:tcPr>
            <w:tcW w:w="872" w:type="dxa"/>
            <w:tcBorders>
              <w:top w:val="single" w:sz="4" w:space="0" w:color="000000"/>
              <w:bottom w:val="single" w:sz="4" w:space="0" w:color="000000"/>
            </w:tcBorders>
            <w:vAlign w:val="center"/>
          </w:tcPr>
          <w:p w:rsidR="003E7904" w:rsidRPr="00AF3362" w:rsidRDefault="003E7904">
            <w:pPr>
              <w:spacing w:after="160" w:line="259" w:lineRule="auto"/>
              <w:jc w:val="center"/>
              <w:rPr>
                <w:rFonts w:ascii="Arial" w:eastAsia="Arial" w:hAnsi="Arial" w:cs="Arial"/>
                <w:sz w:val="16"/>
                <w:szCs w:val="16"/>
              </w:rPr>
            </w:pPr>
          </w:p>
        </w:tc>
        <w:tc>
          <w:tcPr>
            <w:tcW w:w="706" w:type="dxa"/>
            <w:tcBorders>
              <w:top w:val="single" w:sz="4" w:space="0" w:color="000000"/>
              <w:bottom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9,031</w:t>
            </w:r>
          </w:p>
        </w:tc>
        <w:tc>
          <w:tcPr>
            <w:tcW w:w="850" w:type="dxa"/>
            <w:tcBorders>
              <w:top w:val="single" w:sz="4" w:space="0" w:color="000000"/>
              <w:bottom w:val="single" w:sz="4" w:space="0" w:color="000000"/>
            </w:tcBorders>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b/>
                <w:sz w:val="16"/>
                <w:szCs w:val="16"/>
              </w:rPr>
              <w:t>0,0289</w:t>
            </w:r>
            <w:r w:rsidRPr="00AF3362">
              <w:rPr>
                <w:rFonts w:ascii="Arial" w:eastAsia="Arial" w:hAnsi="Arial" w:cs="Arial"/>
                <w:sz w:val="16"/>
                <w:szCs w:val="16"/>
              </w:rPr>
              <w:t xml:space="preserve"> (*)</w:t>
            </w:r>
          </w:p>
        </w:tc>
        <w:tc>
          <w:tcPr>
            <w:tcW w:w="1206"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r>
    </w:tbl>
    <w:p w:rsidR="003E7904" w:rsidRPr="00AF3362" w:rsidRDefault="00BA0F84">
      <w:pPr>
        <w:spacing w:after="160" w:line="259" w:lineRule="auto"/>
        <w:rPr>
          <w:rFonts w:ascii="Arial" w:eastAsia="Arial" w:hAnsi="Arial" w:cs="Arial"/>
          <w:sz w:val="20"/>
          <w:szCs w:val="20"/>
        </w:rPr>
      </w:pPr>
      <w:r w:rsidRPr="00AF3362">
        <w:rPr>
          <w:rFonts w:ascii="Arial" w:eastAsia="Arial" w:hAnsi="Arial" w:cs="Arial"/>
          <w:sz w:val="20"/>
          <w:szCs w:val="20"/>
        </w:rPr>
        <w:t xml:space="preserve"> (1) Bonferroni correction implies that significant values are those p-values below 0.0125.  (*)</w:t>
      </w:r>
      <w:r w:rsidR="00025551" w:rsidRPr="00AF3362">
        <w:rPr>
          <w:rFonts w:ascii="Arial" w:eastAsia="Arial" w:hAnsi="Arial" w:cs="Arial"/>
          <w:sz w:val="20"/>
          <w:szCs w:val="20"/>
        </w:rPr>
        <w:t xml:space="preserve"> </w:t>
      </w:r>
      <w:r w:rsidR="00025551" w:rsidRPr="00AF3362">
        <w:rPr>
          <w:rFonts w:ascii="Noto Sans Symbols" w:eastAsia="Noto Sans Symbols" w:hAnsi="Noto Sans Symbols" w:cs="Noto Sans Symbols"/>
          <w:b/>
          <w:sz w:val="18"/>
          <w:szCs w:val="18"/>
        </w:rPr>
        <w:t>χ</w:t>
      </w:r>
      <w:r w:rsidRPr="00AF3362">
        <w:rPr>
          <w:rFonts w:ascii="Symbol" w:eastAsia="Symbol" w:hAnsi="Symbol" w:cs="Symbol"/>
          <w:sz w:val="22"/>
          <w:szCs w:val="22"/>
        </w:rPr>
        <w:t></w:t>
      </w:r>
      <w:r w:rsidRPr="00AF3362">
        <w:rPr>
          <w:rFonts w:ascii="Arial" w:eastAsia="Arial" w:hAnsi="Arial" w:cs="Arial"/>
          <w:sz w:val="22"/>
          <w:szCs w:val="22"/>
          <w:vertAlign w:val="superscript"/>
        </w:rPr>
        <w:t>2</w:t>
      </w:r>
      <w:r w:rsidRPr="00AF3362">
        <w:rPr>
          <w:rFonts w:ascii="Arial" w:eastAsia="Arial" w:hAnsi="Arial" w:cs="Arial"/>
          <w:sz w:val="20"/>
          <w:szCs w:val="20"/>
        </w:rPr>
        <w:t xml:space="preserve"> = 9,031 ; GL= 3 ; </w:t>
      </w:r>
      <w:r w:rsidRPr="00AF3362">
        <w:rPr>
          <w:rFonts w:ascii="Arial" w:eastAsia="Arial" w:hAnsi="Arial" w:cs="Arial"/>
          <w:i/>
          <w:sz w:val="20"/>
          <w:szCs w:val="20"/>
        </w:rPr>
        <w:t>p</w:t>
      </w:r>
      <w:r w:rsidRPr="00AF3362">
        <w:rPr>
          <w:rFonts w:ascii="Arial" w:eastAsia="Arial" w:hAnsi="Arial" w:cs="Arial"/>
          <w:sz w:val="20"/>
          <w:szCs w:val="20"/>
        </w:rPr>
        <w:t xml:space="preserve"> = 0,0289.</w:t>
      </w:r>
    </w:p>
    <w:sectPr w:rsidR="003E7904" w:rsidRPr="00AF3362" w:rsidSect="00DA6DF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dvTT5235d5a9">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Moves/>
  <w:defaultTabStop w:val="720"/>
  <w:hyphenationZone w:val="425"/>
  <w:characterSpacingControl w:val="doNotCompress"/>
  <w:compat>
    <w:compatSetting w:name="compatibilityMode" w:uri="http://schemas.microsoft.com/office/word" w:val="12"/>
  </w:compat>
  <w:rsids>
    <w:rsidRoot w:val="003E7904"/>
    <w:rsid w:val="000010A6"/>
    <w:rsid w:val="0000686D"/>
    <w:rsid w:val="00015D05"/>
    <w:rsid w:val="00025551"/>
    <w:rsid w:val="000276F9"/>
    <w:rsid w:val="00030C6F"/>
    <w:rsid w:val="00031FCB"/>
    <w:rsid w:val="0006341A"/>
    <w:rsid w:val="000752C2"/>
    <w:rsid w:val="000759EB"/>
    <w:rsid w:val="000A164A"/>
    <w:rsid w:val="000A3FD4"/>
    <w:rsid w:val="000C3F1E"/>
    <w:rsid w:val="000C537C"/>
    <w:rsid w:val="000D7668"/>
    <w:rsid w:val="000F0D10"/>
    <w:rsid w:val="000F3589"/>
    <w:rsid w:val="0011475E"/>
    <w:rsid w:val="00122C96"/>
    <w:rsid w:val="0014209C"/>
    <w:rsid w:val="00146B8A"/>
    <w:rsid w:val="0015326D"/>
    <w:rsid w:val="00160BCE"/>
    <w:rsid w:val="00173A55"/>
    <w:rsid w:val="00176276"/>
    <w:rsid w:val="00182478"/>
    <w:rsid w:val="001A2746"/>
    <w:rsid w:val="001A7223"/>
    <w:rsid w:val="001C155C"/>
    <w:rsid w:val="001C7A65"/>
    <w:rsid w:val="001F2984"/>
    <w:rsid w:val="0022272E"/>
    <w:rsid w:val="002317C7"/>
    <w:rsid w:val="0024011C"/>
    <w:rsid w:val="0025335F"/>
    <w:rsid w:val="0026076D"/>
    <w:rsid w:val="0028044A"/>
    <w:rsid w:val="002811B2"/>
    <w:rsid w:val="00281ABE"/>
    <w:rsid w:val="002C4823"/>
    <w:rsid w:val="002D18C7"/>
    <w:rsid w:val="002D33AF"/>
    <w:rsid w:val="002D6920"/>
    <w:rsid w:val="00302B50"/>
    <w:rsid w:val="00315F6C"/>
    <w:rsid w:val="00321AAC"/>
    <w:rsid w:val="003271B2"/>
    <w:rsid w:val="003349C8"/>
    <w:rsid w:val="00341D50"/>
    <w:rsid w:val="00342DE8"/>
    <w:rsid w:val="0034723F"/>
    <w:rsid w:val="003502A0"/>
    <w:rsid w:val="00367CB7"/>
    <w:rsid w:val="0038131C"/>
    <w:rsid w:val="0038563A"/>
    <w:rsid w:val="00396649"/>
    <w:rsid w:val="00397583"/>
    <w:rsid w:val="003A4B09"/>
    <w:rsid w:val="003B6559"/>
    <w:rsid w:val="003D7454"/>
    <w:rsid w:val="003E693C"/>
    <w:rsid w:val="003E7904"/>
    <w:rsid w:val="003F0AD7"/>
    <w:rsid w:val="00401412"/>
    <w:rsid w:val="004164A6"/>
    <w:rsid w:val="00416C4A"/>
    <w:rsid w:val="004205CE"/>
    <w:rsid w:val="004306BA"/>
    <w:rsid w:val="00431C44"/>
    <w:rsid w:val="0044569E"/>
    <w:rsid w:val="004479F8"/>
    <w:rsid w:val="00451ADC"/>
    <w:rsid w:val="0045364D"/>
    <w:rsid w:val="0047102C"/>
    <w:rsid w:val="00474C76"/>
    <w:rsid w:val="00480C1C"/>
    <w:rsid w:val="00486FC6"/>
    <w:rsid w:val="00491879"/>
    <w:rsid w:val="00492315"/>
    <w:rsid w:val="004A519A"/>
    <w:rsid w:val="004B120B"/>
    <w:rsid w:val="004C38D2"/>
    <w:rsid w:val="004C537C"/>
    <w:rsid w:val="004C6816"/>
    <w:rsid w:val="004D38DC"/>
    <w:rsid w:val="004D4D3A"/>
    <w:rsid w:val="004D5FF1"/>
    <w:rsid w:val="004E1891"/>
    <w:rsid w:val="004E7426"/>
    <w:rsid w:val="004F3BC7"/>
    <w:rsid w:val="004F50DF"/>
    <w:rsid w:val="005250AB"/>
    <w:rsid w:val="005313A7"/>
    <w:rsid w:val="00534D99"/>
    <w:rsid w:val="00535A40"/>
    <w:rsid w:val="00536DBA"/>
    <w:rsid w:val="00537AD4"/>
    <w:rsid w:val="00547D10"/>
    <w:rsid w:val="005568C5"/>
    <w:rsid w:val="005610F5"/>
    <w:rsid w:val="00561C80"/>
    <w:rsid w:val="0057383E"/>
    <w:rsid w:val="005A40B5"/>
    <w:rsid w:val="005B30C1"/>
    <w:rsid w:val="005B3A9B"/>
    <w:rsid w:val="005B6570"/>
    <w:rsid w:val="005E1D84"/>
    <w:rsid w:val="005E29F1"/>
    <w:rsid w:val="005E3DCA"/>
    <w:rsid w:val="005E60F2"/>
    <w:rsid w:val="0061675A"/>
    <w:rsid w:val="00616BEE"/>
    <w:rsid w:val="00630233"/>
    <w:rsid w:val="006310A2"/>
    <w:rsid w:val="00633CF7"/>
    <w:rsid w:val="00661EC2"/>
    <w:rsid w:val="00666FA3"/>
    <w:rsid w:val="00683D53"/>
    <w:rsid w:val="00692CBE"/>
    <w:rsid w:val="006A1B1E"/>
    <w:rsid w:val="006A762F"/>
    <w:rsid w:val="006B01FA"/>
    <w:rsid w:val="006B048E"/>
    <w:rsid w:val="006B1ADF"/>
    <w:rsid w:val="006B5CEA"/>
    <w:rsid w:val="006C6F2E"/>
    <w:rsid w:val="006D4361"/>
    <w:rsid w:val="006D6182"/>
    <w:rsid w:val="006D7B34"/>
    <w:rsid w:val="0070287D"/>
    <w:rsid w:val="0070357D"/>
    <w:rsid w:val="00730DB2"/>
    <w:rsid w:val="00731682"/>
    <w:rsid w:val="007521ED"/>
    <w:rsid w:val="00755F9C"/>
    <w:rsid w:val="00781C69"/>
    <w:rsid w:val="007A2AE5"/>
    <w:rsid w:val="007A687E"/>
    <w:rsid w:val="007B0FFF"/>
    <w:rsid w:val="007D251B"/>
    <w:rsid w:val="007D26A8"/>
    <w:rsid w:val="007D4FE4"/>
    <w:rsid w:val="007E0BAA"/>
    <w:rsid w:val="008008FB"/>
    <w:rsid w:val="00811596"/>
    <w:rsid w:val="00822487"/>
    <w:rsid w:val="00833CA4"/>
    <w:rsid w:val="008344B8"/>
    <w:rsid w:val="008449EB"/>
    <w:rsid w:val="00844EED"/>
    <w:rsid w:val="00851B7D"/>
    <w:rsid w:val="008853F2"/>
    <w:rsid w:val="008B79DC"/>
    <w:rsid w:val="008C2073"/>
    <w:rsid w:val="008D005A"/>
    <w:rsid w:val="008D1459"/>
    <w:rsid w:val="008D4030"/>
    <w:rsid w:val="008F144F"/>
    <w:rsid w:val="008F3342"/>
    <w:rsid w:val="008F4D16"/>
    <w:rsid w:val="008F58DC"/>
    <w:rsid w:val="00900886"/>
    <w:rsid w:val="009023BC"/>
    <w:rsid w:val="00917A88"/>
    <w:rsid w:val="00921DD6"/>
    <w:rsid w:val="0094768E"/>
    <w:rsid w:val="00950CB5"/>
    <w:rsid w:val="00962D98"/>
    <w:rsid w:val="0098027C"/>
    <w:rsid w:val="009847D8"/>
    <w:rsid w:val="009A0382"/>
    <w:rsid w:val="009A78DF"/>
    <w:rsid w:val="009D611B"/>
    <w:rsid w:val="009F7A16"/>
    <w:rsid w:val="00A0081F"/>
    <w:rsid w:val="00A03434"/>
    <w:rsid w:val="00A035C9"/>
    <w:rsid w:val="00A13B43"/>
    <w:rsid w:val="00A15985"/>
    <w:rsid w:val="00A15E3B"/>
    <w:rsid w:val="00A26BAB"/>
    <w:rsid w:val="00A30ABA"/>
    <w:rsid w:val="00A4267F"/>
    <w:rsid w:val="00A44333"/>
    <w:rsid w:val="00A44386"/>
    <w:rsid w:val="00A5195F"/>
    <w:rsid w:val="00A5210B"/>
    <w:rsid w:val="00A85C0C"/>
    <w:rsid w:val="00A91271"/>
    <w:rsid w:val="00A92730"/>
    <w:rsid w:val="00AC41EC"/>
    <w:rsid w:val="00AC69AA"/>
    <w:rsid w:val="00AE398B"/>
    <w:rsid w:val="00AE53DD"/>
    <w:rsid w:val="00AF3362"/>
    <w:rsid w:val="00AF4F15"/>
    <w:rsid w:val="00B215A2"/>
    <w:rsid w:val="00B26A3B"/>
    <w:rsid w:val="00B3364B"/>
    <w:rsid w:val="00B360EF"/>
    <w:rsid w:val="00B55691"/>
    <w:rsid w:val="00B700D3"/>
    <w:rsid w:val="00B82E9F"/>
    <w:rsid w:val="00B84452"/>
    <w:rsid w:val="00B96EEC"/>
    <w:rsid w:val="00B96F34"/>
    <w:rsid w:val="00BA0F84"/>
    <w:rsid w:val="00BA5021"/>
    <w:rsid w:val="00BA6FF8"/>
    <w:rsid w:val="00BC2EF2"/>
    <w:rsid w:val="00BC56EF"/>
    <w:rsid w:val="00BE020E"/>
    <w:rsid w:val="00BE35EB"/>
    <w:rsid w:val="00C02951"/>
    <w:rsid w:val="00C03FC2"/>
    <w:rsid w:val="00C04D05"/>
    <w:rsid w:val="00C1155F"/>
    <w:rsid w:val="00C129EB"/>
    <w:rsid w:val="00C15547"/>
    <w:rsid w:val="00C16E61"/>
    <w:rsid w:val="00C22A1F"/>
    <w:rsid w:val="00C72284"/>
    <w:rsid w:val="00C73FB7"/>
    <w:rsid w:val="00C8148E"/>
    <w:rsid w:val="00C8308E"/>
    <w:rsid w:val="00C87AE1"/>
    <w:rsid w:val="00CA0C51"/>
    <w:rsid w:val="00CA22D5"/>
    <w:rsid w:val="00CA6FDE"/>
    <w:rsid w:val="00CC021A"/>
    <w:rsid w:val="00CC5155"/>
    <w:rsid w:val="00CD7926"/>
    <w:rsid w:val="00D0226B"/>
    <w:rsid w:val="00D37879"/>
    <w:rsid w:val="00D475EE"/>
    <w:rsid w:val="00D47703"/>
    <w:rsid w:val="00D56DEB"/>
    <w:rsid w:val="00D61FD3"/>
    <w:rsid w:val="00D760A6"/>
    <w:rsid w:val="00D779AD"/>
    <w:rsid w:val="00DA6DFF"/>
    <w:rsid w:val="00DC0E4D"/>
    <w:rsid w:val="00DC385F"/>
    <w:rsid w:val="00DC744B"/>
    <w:rsid w:val="00DD1A3B"/>
    <w:rsid w:val="00DD4DD4"/>
    <w:rsid w:val="00DE464A"/>
    <w:rsid w:val="00E01DC2"/>
    <w:rsid w:val="00E02AB7"/>
    <w:rsid w:val="00E129DE"/>
    <w:rsid w:val="00E1725C"/>
    <w:rsid w:val="00E17473"/>
    <w:rsid w:val="00E20428"/>
    <w:rsid w:val="00E41424"/>
    <w:rsid w:val="00E47115"/>
    <w:rsid w:val="00E50A40"/>
    <w:rsid w:val="00E60686"/>
    <w:rsid w:val="00E82A3C"/>
    <w:rsid w:val="00E858B6"/>
    <w:rsid w:val="00EA3122"/>
    <w:rsid w:val="00EA3565"/>
    <w:rsid w:val="00EA5E56"/>
    <w:rsid w:val="00EA70C7"/>
    <w:rsid w:val="00EB0D7D"/>
    <w:rsid w:val="00EB4AD6"/>
    <w:rsid w:val="00EC0CDF"/>
    <w:rsid w:val="00F05F52"/>
    <w:rsid w:val="00F10FBF"/>
    <w:rsid w:val="00F1261A"/>
    <w:rsid w:val="00F44085"/>
    <w:rsid w:val="00F45A83"/>
    <w:rsid w:val="00F47BAB"/>
    <w:rsid w:val="00F55927"/>
    <w:rsid w:val="00F65234"/>
    <w:rsid w:val="00F67AA8"/>
    <w:rsid w:val="00F82E62"/>
    <w:rsid w:val="00FB6B61"/>
    <w:rsid w:val="00FC487C"/>
    <w:rsid w:val="00FC7398"/>
    <w:rsid w:val="00FD08EF"/>
    <w:rsid w:val="00FE2456"/>
    <w:rsid w:val="00FF2A26"/>
    <w:rsid w:val="00FF581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42D76-8F15-4B25-886E-DD12C03E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095"/>
    <w:pPr>
      <w:suppressAutoHyphens/>
    </w:pPr>
    <w:rPr>
      <w:lang w:eastAsia="ar-SA"/>
    </w:rPr>
  </w:style>
  <w:style w:type="paragraph" w:styleId="Ttulo1">
    <w:name w:val="heading 1"/>
    <w:basedOn w:val="Normal"/>
    <w:next w:val="Normal"/>
    <w:rsid w:val="00DA6DFF"/>
    <w:pPr>
      <w:keepNext/>
      <w:keepLines/>
      <w:spacing w:before="480" w:after="120"/>
      <w:outlineLvl w:val="0"/>
    </w:pPr>
    <w:rPr>
      <w:b/>
      <w:sz w:val="48"/>
      <w:szCs w:val="48"/>
    </w:rPr>
  </w:style>
  <w:style w:type="paragraph" w:styleId="Ttulo2">
    <w:name w:val="heading 2"/>
    <w:basedOn w:val="Normal"/>
    <w:next w:val="Normal"/>
    <w:rsid w:val="00DA6DFF"/>
    <w:pPr>
      <w:keepNext/>
      <w:keepLines/>
      <w:spacing w:before="360" w:after="80"/>
      <w:outlineLvl w:val="1"/>
    </w:pPr>
    <w:rPr>
      <w:b/>
      <w:sz w:val="36"/>
      <w:szCs w:val="36"/>
    </w:rPr>
  </w:style>
  <w:style w:type="paragraph" w:styleId="Ttulo3">
    <w:name w:val="heading 3"/>
    <w:basedOn w:val="Normal"/>
    <w:next w:val="Normal"/>
    <w:rsid w:val="00DA6DFF"/>
    <w:pPr>
      <w:keepNext/>
      <w:keepLines/>
      <w:spacing w:before="280" w:after="80"/>
      <w:outlineLvl w:val="2"/>
    </w:pPr>
    <w:rPr>
      <w:b/>
      <w:sz w:val="28"/>
      <w:szCs w:val="28"/>
    </w:rPr>
  </w:style>
  <w:style w:type="paragraph" w:styleId="Ttulo4">
    <w:name w:val="heading 4"/>
    <w:basedOn w:val="Normal"/>
    <w:next w:val="Normal"/>
    <w:rsid w:val="00DA6DFF"/>
    <w:pPr>
      <w:keepNext/>
      <w:keepLines/>
      <w:spacing w:before="240" w:after="40"/>
      <w:outlineLvl w:val="3"/>
    </w:pPr>
    <w:rPr>
      <w:b/>
    </w:rPr>
  </w:style>
  <w:style w:type="paragraph" w:styleId="Ttulo5">
    <w:name w:val="heading 5"/>
    <w:basedOn w:val="Normal"/>
    <w:next w:val="Normal"/>
    <w:rsid w:val="00DA6DFF"/>
    <w:pPr>
      <w:keepNext/>
      <w:keepLines/>
      <w:spacing w:before="220" w:after="40"/>
      <w:outlineLvl w:val="4"/>
    </w:pPr>
    <w:rPr>
      <w:b/>
      <w:sz w:val="22"/>
      <w:szCs w:val="22"/>
    </w:rPr>
  </w:style>
  <w:style w:type="paragraph" w:styleId="Ttulo6">
    <w:name w:val="heading 6"/>
    <w:basedOn w:val="Normal"/>
    <w:next w:val="Normal"/>
    <w:rsid w:val="00DA6DF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A6DFF"/>
    <w:tblPr>
      <w:tblCellMar>
        <w:top w:w="0" w:type="dxa"/>
        <w:left w:w="0" w:type="dxa"/>
        <w:bottom w:w="0" w:type="dxa"/>
        <w:right w:w="0" w:type="dxa"/>
      </w:tblCellMar>
    </w:tblPr>
  </w:style>
  <w:style w:type="paragraph" w:styleId="Puesto">
    <w:name w:val="Title"/>
    <w:basedOn w:val="Normal"/>
    <w:next w:val="Normal"/>
    <w:rsid w:val="00DA6DFF"/>
    <w:pPr>
      <w:keepNext/>
      <w:keepLines/>
      <w:spacing w:before="480" w:after="120"/>
    </w:pPr>
    <w:rPr>
      <w:b/>
      <w:sz w:val="72"/>
      <w:szCs w:val="72"/>
    </w:rPr>
  </w:style>
  <w:style w:type="character" w:customStyle="1" w:styleId="ft">
    <w:name w:val="ft"/>
    <w:basedOn w:val="Fuentedeprrafopredeter"/>
    <w:rsid w:val="000D4095"/>
  </w:style>
  <w:style w:type="paragraph" w:styleId="Textoindependiente">
    <w:name w:val="Body Text"/>
    <w:basedOn w:val="Normal"/>
    <w:link w:val="TextoindependienteCar"/>
    <w:rsid w:val="000D4095"/>
    <w:pPr>
      <w:spacing w:after="120"/>
    </w:pPr>
  </w:style>
  <w:style w:type="character" w:customStyle="1" w:styleId="TextoindependienteCar">
    <w:name w:val="Texto independiente Car"/>
    <w:basedOn w:val="Fuentedeprrafopredeter"/>
    <w:link w:val="Textoindependiente"/>
    <w:rsid w:val="000D4095"/>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uiPriority w:val="99"/>
    <w:semiHidden/>
    <w:unhideWhenUsed/>
    <w:rsid w:val="0037569C"/>
    <w:pPr>
      <w:spacing w:after="120"/>
      <w:ind w:left="283"/>
    </w:pPr>
  </w:style>
  <w:style w:type="character" w:customStyle="1" w:styleId="SangradetextonormalCar">
    <w:name w:val="Sangría de texto normal Car"/>
    <w:basedOn w:val="Fuentedeprrafopredeter"/>
    <w:link w:val="Sangradetextonormal"/>
    <w:uiPriority w:val="99"/>
    <w:semiHidden/>
    <w:rsid w:val="0037569C"/>
    <w:rPr>
      <w:rFonts w:ascii="Times New Roman" w:eastAsia="Times New Roman" w:hAnsi="Times New Roman" w:cs="Times New Roman"/>
      <w:sz w:val="24"/>
      <w:szCs w:val="24"/>
      <w:lang w:eastAsia="ar-SA"/>
    </w:rPr>
  </w:style>
  <w:style w:type="character" w:styleId="Hipervnculo">
    <w:name w:val="Hyperlink"/>
    <w:basedOn w:val="Fuentedeprrafopredeter"/>
    <w:rsid w:val="00BA7DFE"/>
    <w:rPr>
      <w:color w:val="0000FF"/>
      <w:u w:val="single"/>
    </w:rPr>
  </w:style>
  <w:style w:type="character" w:customStyle="1" w:styleId="ref-author">
    <w:name w:val="ref-author"/>
    <w:basedOn w:val="Fuentedeprrafopredeter"/>
    <w:rsid w:val="00BA7DFE"/>
  </w:style>
  <w:style w:type="character" w:customStyle="1" w:styleId="title3">
    <w:name w:val="title3"/>
    <w:basedOn w:val="Fuentedeprrafopredeter"/>
    <w:rsid w:val="00BA7DFE"/>
  </w:style>
  <w:style w:type="character" w:customStyle="1" w:styleId="journal">
    <w:name w:val="journal"/>
    <w:basedOn w:val="Fuentedeprrafopredeter"/>
    <w:rsid w:val="00BA7DFE"/>
  </w:style>
  <w:style w:type="character" w:customStyle="1" w:styleId="journalname">
    <w:name w:val="journalname"/>
    <w:basedOn w:val="Fuentedeprrafopredeter"/>
    <w:rsid w:val="00BA7DFE"/>
  </w:style>
  <w:style w:type="character" w:customStyle="1" w:styleId="jrnl">
    <w:name w:val="jrnl"/>
    <w:basedOn w:val="Fuentedeprrafopredeter"/>
    <w:rsid w:val="00BA7DFE"/>
  </w:style>
  <w:style w:type="paragraph" w:customStyle="1" w:styleId="title1">
    <w:name w:val="title1"/>
    <w:basedOn w:val="Normal"/>
    <w:rsid w:val="00BA7DFE"/>
    <w:rPr>
      <w:sz w:val="29"/>
      <w:szCs w:val="29"/>
    </w:rPr>
  </w:style>
  <w:style w:type="paragraph" w:customStyle="1" w:styleId="Default">
    <w:name w:val="Default"/>
    <w:rsid w:val="003103F2"/>
    <w:pPr>
      <w:autoSpaceDE w:val="0"/>
      <w:autoSpaceDN w:val="0"/>
      <w:adjustRightInd w:val="0"/>
    </w:pPr>
    <w:rPr>
      <w:rFonts w:ascii="Arial" w:hAnsi="Arial" w:cs="Arial"/>
      <w:color w:val="000000"/>
    </w:rPr>
  </w:style>
  <w:style w:type="table" w:styleId="Tablaconcuadrcula">
    <w:name w:val="Table Grid"/>
    <w:basedOn w:val="Tablanormal"/>
    <w:uiPriority w:val="59"/>
    <w:rsid w:val="00EF6D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A13B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B23"/>
    <w:rPr>
      <w:rFonts w:ascii="Segoe UI" w:eastAsia="Times New Roman" w:hAnsi="Segoe UI" w:cs="Segoe UI"/>
      <w:sz w:val="18"/>
      <w:szCs w:val="18"/>
      <w:lang w:eastAsia="ar-SA"/>
    </w:rPr>
  </w:style>
  <w:style w:type="table" w:customStyle="1" w:styleId="Sombreadoclaro1">
    <w:name w:val="Sombreado claro1"/>
    <w:basedOn w:val="Tablanormal"/>
    <w:uiPriority w:val="60"/>
    <w:rsid w:val="00B810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tulo">
    <w:name w:val="Subtitle"/>
    <w:basedOn w:val="Normal"/>
    <w:next w:val="Normal"/>
    <w:rsid w:val="00DA6DFF"/>
    <w:pPr>
      <w:keepNext/>
      <w:keepLines/>
      <w:spacing w:before="360" w:after="80"/>
    </w:pPr>
    <w:rPr>
      <w:rFonts w:ascii="Georgia" w:eastAsia="Georgia" w:hAnsi="Georgia" w:cs="Georgia"/>
      <w:i/>
      <w:color w:val="666666"/>
      <w:sz w:val="48"/>
      <w:szCs w:val="48"/>
    </w:rPr>
  </w:style>
  <w:style w:type="table" w:customStyle="1" w:styleId="a">
    <w:basedOn w:val="TableNormal1"/>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1"/>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1"/>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2">
    <w:basedOn w:val="TableNormal1"/>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3">
    <w:basedOn w:val="TableNormal1"/>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4">
    <w:basedOn w:val="TableNormal1"/>
    <w:rsid w:val="00DA6DFF"/>
    <w:tblPr>
      <w:tblStyleRowBandSize w:val="1"/>
      <w:tblStyleColBandSize w:val="1"/>
      <w:tblCellMar>
        <w:left w:w="115" w:type="dxa"/>
        <w:right w:w="115" w:type="dxa"/>
      </w:tblCellMar>
    </w:tblPr>
  </w:style>
  <w:style w:type="table" w:customStyle="1" w:styleId="a5">
    <w:basedOn w:val="TableNormal1"/>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eNormal1"/>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rrafodelista">
    <w:name w:val="List Paragraph"/>
    <w:basedOn w:val="Normal"/>
    <w:uiPriority w:val="34"/>
    <w:qFormat/>
    <w:rsid w:val="00C8148E"/>
    <w:pPr>
      <w:ind w:left="720"/>
      <w:contextualSpacing/>
    </w:pPr>
  </w:style>
  <w:style w:type="character" w:styleId="Refdecomentario">
    <w:name w:val="annotation reference"/>
    <w:basedOn w:val="Fuentedeprrafopredeter"/>
    <w:uiPriority w:val="99"/>
    <w:semiHidden/>
    <w:unhideWhenUsed/>
    <w:rsid w:val="00F65234"/>
    <w:rPr>
      <w:sz w:val="16"/>
      <w:szCs w:val="16"/>
    </w:rPr>
  </w:style>
  <w:style w:type="paragraph" w:styleId="Textocomentario">
    <w:name w:val="annotation text"/>
    <w:basedOn w:val="Normal"/>
    <w:link w:val="TextocomentarioCar"/>
    <w:uiPriority w:val="99"/>
    <w:semiHidden/>
    <w:unhideWhenUsed/>
    <w:rsid w:val="00F65234"/>
    <w:rPr>
      <w:sz w:val="20"/>
      <w:szCs w:val="20"/>
    </w:rPr>
  </w:style>
  <w:style w:type="character" w:customStyle="1" w:styleId="TextocomentarioCar">
    <w:name w:val="Texto comentario Car"/>
    <w:basedOn w:val="Fuentedeprrafopredeter"/>
    <w:link w:val="Textocomentario"/>
    <w:uiPriority w:val="99"/>
    <w:semiHidden/>
    <w:rsid w:val="00F65234"/>
    <w:rPr>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F65234"/>
    <w:rPr>
      <w:b/>
      <w:bCs/>
    </w:rPr>
  </w:style>
  <w:style w:type="character" w:customStyle="1" w:styleId="AsuntodelcomentarioCar">
    <w:name w:val="Asunto del comentario Car"/>
    <w:basedOn w:val="TextocomentarioCar"/>
    <w:link w:val="Asuntodelcomentario"/>
    <w:uiPriority w:val="99"/>
    <w:semiHidden/>
    <w:rsid w:val="00F65234"/>
    <w:rPr>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4085">
      <w:bodyDiv w:val="1"/>
      <w:marLeft w:val="0"/>
      <w:marRight w:val="0"/>
      <w:marTop w:val="0"/>
      <w:marBottom w:val="0"/>
      <w:divBdr>
        <w:top w:val="none" w:sz="0" w:space="0" w:color="auto"/>
        <w:left w:val="none" w:sz="0" w:space="0" w:color="auto"/>
        <w:bottom w:val="none" w:sz="0" w:space="0" w:color="auto"/>
        <w:right w:val="none" w:sz="0" w:space="0" w:color="auto"/>
      </w:divBdr>
      <w:divsChild>
        <w:div w:id="1078942894">
          <w:marLeft w:val="0"/>
          <w:marRight w:val="0"/>
          <w:marTop w:val="0"/>
          <w:marBottom w:val="0"/>
          <w:divBdr>
            <w:top w:val="none" w:sz="0" w:space="0" w:color="auto"/>
            <w:left w:val="none" w:sz="0" w:space="0" w:color="auto"/>
            <w:bottom w:val="none" w:sz="0" w:space="0" w:color="auto"/>
            <w:right w:val="none" w:sz="0" w:space="0" w:color="auto"/>
          </w:divBdr>
          <w:divsChild>
            <w:div w:id="780219888">
              <w:marLeft w:val="0"/>
              <w:marRight w:val="0"/>
              <w:marTop w:val="0"/>
              <w:marBottom w:val="0"/>
              <w:divBdr>
                <w:top w:val="none" w:sz="0" w:space="0" w:color="auto"/>
                <w:left w:val="none" w:sz="0" w:space="0" w:color="auto"/>
                <w:bottom w:val="none" w:sz="0" w:space="0" w:color="auto"/>
                <w:right w:val="none" w:sz="0" w:space="0" w:color="auto"/>
              </w:divBdr>
              <w:divsChild>
                <w:div w:id="637346940">
                  <w:marLeft w:val="0"/>
                  <w:marRight w:val="0"/>
                  <w:marTop w:val="0"/>
                  <w:marBottom w:val="0"/>
                  <w:divBdr>
                    <w:top w:val="none" w:sz="0" w:space="0" w:color="auto"/>
                    <w:left w:val="none" w:sz="0" w:space="0" w:color="auto"/>
                    <w:bottom w:val="none" w:sz="0" w:space="0" w:color="auto"/>
                    <w:right w:val="none" w:sz="0" w:space="0" w:color="auto"/>
                  </w:divBdr>
                  <w:divsChild>
                    <w:div w:id="624504162">
                      <w:marLeft w:val="0"/>
                      <w:marRight w:val="0"/>
                      <w:marTop w:val="0"/>
                      <w:marBottom w:val="0"/>
                      <w:divBdr>
                        <w:top w:val="none" w:sz="0" w:space="0" w:color="auto"/>
                        <w:left w:val="none" w:sz="0" w:space="0" w:color="auto"/>
                        <w:bottom w:val="none" w:sz="0" w:space="0" w:color="auto"/>
                        <w:right w:val="none" w:sz="0" w:space="0" w:color="auto"/>
                      </w:divBdr>
                      <w:divsChild>
                        <w:div w:id="884294944">
                          <w:marLeft w:val="0"/>
                          <w:marRight w:val="0"/>
                          <w:marTop w:val="0"/>
                          <w:marBottom w:val="0"/>
                          <w:divBdr>
                            <w:top w:val="none" w:sz="0" w:space="0" w:color="auto"/>
                            <w:left w:val="none" w:sz="0" w:space="0" w:color="auto"/>
                            <w:bottom w:val="none" w:sz="0" w:space="0" w:color="auto"/>
                            <w:right w:val="none" w:sz="0" w:space="0" w:color="auto"/>
                          </w:divBdr>
                        </w:div>
                        <w:div w:id="2144272578">
                          <w:marLeft w:val="0"/>
                          <w:marRight w:val="0"/>
                          <w:marTop w:val="0"/>
                          <w:marBottom w:val="0"/>
                          <w:divBdr>
                            <w:top w:val="none" w:sz="0" w:space="0" w:color="auto"/>
                            <w:left w:val="none" w:sz="0" w:space="0" w:color="auto"/>
                            <w:bottom w:val="none" w:sz="0" w:space="0" w:color="auto"/>
                            <w:right w:val="none" w:sz="0" w:space="0" w:color="auto"/>
                          </w:divBdr>
                          <w:divsChild>
                            <w:div w:id="21441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xh6mJne2YZP5I1lCRnRKI22N4w==">AMUW2mVzncwMs9UYhRrTZrywdbfaH3jIliwtGFsBMAq1k9QM2HU/pIayXVc18w4z+TzdZJrLnPV9K7TB81KSTXG4q9UoowHGHMcggP15VfVqVQo0ZaxK8toDz9RCV9Rz25uR14SVxzdYyIxJE/6raZ8YPibIhh/htxIGqjaHNe15fHNaw9myBa4QXCSxtKPTPnfXDwGDL/ntqwkslRKAdlFBrDBMr+Cp6unIkSy/0iqmrHRERxwVBbI6oGDi1CR8b6sYcvV6ZTO3iAWl+E802ZFUjlyX2D7wBNbtBYF8f91gDICXKKFDR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9359</Words>
  <Characters>51478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Consejeria de Sanidad</dc:creator>
  <cp:lastModifiedBy>Consejeria de Sanidad</cp:lastModifiedBy>
  <cp:revision>6</cp:revision>
  <dcterms:created xsi:type="dcterms:W3CDTF">2020-11-15T10:35:00Z</dcterms:created>
  <dcterms:modified xsi:type="dcterms:W3CDTF">2020-11-17T13:31:00Z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http://www.zotero.org/styles/psychiatry-research</vt:lpwstr>
  </property>
  <property fmtid="{D5CDD505-2E9C-101B-9397-08002B2CF9AE}" pid="21" name="Mendeley Recent Style Name 9_1">
    <vt:lpwstr>Psychiatry Research</vt:lpwstr>
  </property>
</Properties>
</file>