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F3" w:rsidRPr="007B0BF3" w:rsidRDefault="007B0BF3" w:rsidP="007B0BF3">
      <w:pPr>
        <w:rPr>
          <w:i/>
          <w:sz w:val="20"/>
          <w:szCs w:val="20"/>
        </w:rPr>
      </w:pPr>
      <w:bookmarkStart w:id="0" w:name="_GoBack"/>
      <w:bookmarkEnd w:id="0"/>
      <w:r w:rsidRPr="007B0BF3">
        <w:rPr>
          <w:sz w:val="20"/>
          <w:szCs w:val="20"/>
        </w:rPr>
        <w:t>Apéndice Tabla 1.</w:t>
      </w:r>
      <w:r w:rsidRPr="007B0BF3">
        <w:rPr>
          <w:i/>
          <w:sz w:val="20"/>
          <w:szCs w:val="20"/>
        </w:rPr>
        <w:t xml:space="preserve"> Justificación de la decisión de corregir el consumo de alcohol </w:t>
      </w:r>
      <w:proofErr w:type="spellStart"/>
      <w:r w:rsidRPr="007B0BF3">
        <w:rPr>
          <w:i/>
          <w:sz w:val="20"/>
          <w:szCs w:val="20"/>
        </w:rPr>
        <w:t>autoinformado</w:t>
      </w:r>
      <w:proofErr w:type="spellEnd"/>
      <w:r w:rsidRPr="007B0BF3">
        <w:rPr>
          <w:i/>
          <w:sz w:val="20"/>
          <w:szCs w:val="20"/>
        </w:rPr>
        <w:t xml:space="preserve"> en las encuestas hasta un 80% del consumo registrado </w:t>
      </w:r>
    </w:p>
    <w:p w:rsidR="007B0BF3" w:rsidRPr="007B0BF3" w:rsidRDefault="007B0BF3" w:rsidP="007B0BF3">
      <w:pPr>
        <w:ind w:left="567"/>
        <w:rPr>
          <w:b/>
          <w:sz w:val="18"/>
          <w:szCs w:val="16"/>
        </w:rPr>
      </w:pPr>
    </w:p>
    <w:tbl>
      <w:tblPr>
        <w:tblStyle w:val="TableGrid"/>
        <w:tblW w:w="9214" w:type="dxa"/>
        <w:tblInd w:w="-5" w:type="dxa"/>
        <w:tblCellMar>
          <w:top w:w="142" w:type="dxa"/>
          <w:left w:w="142" w:type="dxa"/>
          <w:bottom w:w="142" w:type="dxa"/>
          <w:right w:w="142" w:type="dxa"/>
        </w:tblCellMar>
        <w:tblLook w:val="04A0" w:firstRow="1" w:lastRow="0" w:firstColumn="1" w:lastColumn="0" w:noHBand="0" w:noVBand="1"/>
      </w:tblPr>
      <w:tblGrid>
        <w:gridCol w:w="9214"/>
      </w:tblGrid>
      <w:tr w:rsidR="007B0BF3" w:rsidRPr="007B0BF3" w:rsidTr="00B46127">
        <w:tc>
          <w:tcPr>
            <w:tcW w:w="9214" w:type="dxa"/>
          </w:tcPr>
          <w:p w:rsidR="007B0BF3" w:rsidRPr="00B131F3" w:rsidRDefault="007B0BF3" w:rsidP="007B0BF3">
            <w:pPr>
              <w:spacing w:after="60"/>
              <w:jc w:val="both"/>
              <w:rPr>
                <w:rFonts w:cstheme="minorHAnsi"/>
                <w:sz w:val="20"/>
                <w:szCs w:val="20"/>
                <w:lang w:val="es-ES"/>
              </w:rPr>
            </w:pPr>
            <w:r w:rsidRPr="00B131F3">
              <w:rPr>
                <w:rFonts w:cstheme="minorHAnsi"/>
                <w:sz w:val="20"/>
                <w:szCs w:val="20"/>
                <w:lang w:val="es-ES"/>
              </w:rPr>
              <w:t xml:space="preserve">Internacionalmente se suele recomendar corregir el consumo medio diario de alcohol </w:t>
            </w:r>
            <w:proofErr w:type="spellStart"/>
            <w:r w:rsidRPr="00B131F3">
              <w:rPr>
                <w:rFonts w:cstheme="minorHAnsi"/>
                <w:sz w:val="20"/>
                <w:szCs w:val="20"/>
                <w:lang w:val="es-ES"/>
              </w:rPr>
              <w:t>autoinformado</w:t>
            </w:r>
            <w:proofErr w:type="spellEnd"/>
            <w:r w:rsidRPr="00B131F3">
              <w:rPr>
                <w:rFonts w:cstheme="minorHAnsi"/>
                <w:sz w:val="20"/>
                <w:szCs w:val="20"/>
                <w:lang w:val="es-ES"/>
              </w:rPr>
              <w:t xml:space="preserve"> en las encuestas poblacionales (</w:t>
            </w:r>
            <w:proofErr w:type="spellStart"/>
            <w:r w:rsidRPr="00B131F3">
              <w:rPr>
                <w:rFonts w:cstheme="minorHAnsi"/>
                <w:sz w:val="20"/>
                <w:szCs w:val="20"/>
                <w:lang w:val="es-ES"/>
              </w:rPr>
              <w:t>Aa</w:t>
            </w:r>
            <w:proofErr w:type="spellEnd"/>
            <w:r w:rsidRPr="00B131F3">
              <w:rPr>
                <w:rFonts w:cstheme="minorHAnsi"/>
                <w:sz w:val="20"/>
                <w:szCs w:val="20"/>
                <w:lang w:val="es-ES"/>
              </w:rPr>
              <w:t xml:space="preserve">) hasta un 80% del consumo medio diario per cápita estimado a partir de diversas fuentes, principalmente estadísticas de venta (Ar). </w:t>
            </w:r>
          </w:p>
          <w:p w:rsidR="007B0BF3" w:rsidRPr="00B131F3" w:rsidRDefault="007B0BF3" w:rsidP="007B0BF3">
            <w:pPr>
              <w:spacing w:after="60"/>
              <w:jc w:val="both"/>
              <w:rPr>
                <w:rFonts w:cstheme="minorHAnsi"/>
                <w:sz w:val="20"/>
                <w:szCs w:val="20"/>
                <w:lang w:val="es-ES"/>
              </w:rPr>
            </w:pPr>
            <w:r w:rsidRPr="00B131F3">
              <w:rPr>
                <w:rFonts w:cstheme="minorHAnsi"/>
                <w:sz w:val="20"/>
                <w:szCs w:val="20"/>
                <w:lang w:val="es-ES"/>
              </w:rPr>
              <w:t>Se suele adoptar esta práctica de corrección porque tanto las encuestas poblacionales utilizadas para obtener las prevalencias de consumo según cantidad consumida (</w:t>
            </w:r>
            <m:oMath>
              <m:sSub>
                <m:sSubPr>
                  <m:ctrlPr>
                    <w:rPr>
                      <w:rFonts w:ascii="Cambria Math" w:hAnsi="Cambria Math" w:cstheme="minorHAnsi"/>
                      <w:sz w:val="20"/>
                      <w:szCs w:val="20"/>
                    </w:rPr>
                  </m:ctrlPr>
                </m:sSubPr>
                <m:e>
                  <m:r>
                    <m:rPr>
                      <m:sty m:val="p"/>
                    </m:rPr>
                    <w:rPr>
                      <w:rFonts w:ascii="Cambria Math" w:hAnsi="Cambria Math" w:cstheme="minorHAnsi"/>
                      <w:sz w:val="20"/>
                      <w:szCs w:val="20"/>
                      <w:lang w:val="es-ES"/>
                    </w:rPr>
                    <m:t>P</m:t>
                  </m:r>
                </m:e>
                <m:sub>
                  <m:r>
                    <m:rPr>
                      <m:sty m:val="p"/>
                    </m:rPr>
                    <w:rPr>
                      <w:rFonts w:ascii="Cambria Math" w:hAnsi="Cambria Math" w:cstheme="minorHAnsi"/>
                      <w:sz w:val="20"/>
                      <w:szCs w:val="20"/>
                      <w:lang w:val="es-ES"/>
                    </w:rPr>
                    <m:t>i</m:t>
                  </m:r>
                </m:sub>
              </m:sSub>
            </m:oMath>
            <w:r w:rsidRPr="00B131F3">
              <w:rPr>
                <w:rFonts w:cstheme="minorHAnsi"/>
                <w:sz w:val="20"/>
                <w:szCs w:val="20"/>
                <w:lang w:val="es-ES"/>
              </w:rPr>
              <w:t>) como los estudios epidemiológicos de cohorte de los que se obtienen los riesgos relativos (</w:t>
            </w:r>
            <w:proofErr w:type="spellStart"/>
            <w:r w:rsidRPr="00B131F3">
              <w:rPr>
                <w:rFonts w:cstheme="minorHAnsi"/>
                <w:sz w:val="20"/>
                <w:szCs w:val="20"/>
                <w:lang w:val="es-ES"/>
              </w:rPr>
              <w:t>RRi</w:t>
            </w:r>
            <w:proofErr w:type="spellEnd"/>
            <w:r w:rsidRPr="00B131F3">
              <w:rPr>
                <w:rFonts w:cstheme="minorHAnsi"/>
                <w:sz w:val="20"/>
                <w:szCs w:val="20"/>
                <w:lang w:val="es-ES"/>
              </w:rPr>
              <w:t>) subestiman el consumo promedio real de alcohol. Así, en una revisión reciente que analizó 40 estudios de cohorte sobre consumo de alcohol y mortalidad por todas las causas procedentes de 18 países se encontró una cobertura media del consumo per cápita basado en las estadísticas de venta (un indicador que es complementario de la subestimación) de un 61,7% (</w:t>
            </w:r>
            <w:proofErr w:type="spellStart"/>
            <w:r w:rsidRPr="00B131F3">
              <w:rPr>
                <w:rFonts w:cstheme="minorHAnsi"/>
                <w:sz w:val="20"/>
                <w:szCs w:val="20"/>
                <w:lang w:val="es-ES"/>
              </w:rPr>
              <w:t>Stockwell</w:t>
            </w:r>
            <w:proofErr w:type="spellEnd"/>
            <w:r w:rsidR="00B131F3">
              <w:rPr>
                <w:rFonts w:cstheme="minorHAnsi"/>
                <w:sz w:val="20"/>
                <w:szCs w:val="20"/>
                <w:lang w:val="es-ES"/>
              </w:rPr>
              <w:t>,</w:t>
            </w:r>
            <w:r w:rsidR="003B685E">
              <w:rPr>
                <w:rFonts w:cstheme="minorHAnsi"/>
                <w:sz w:val="20"/>
                <w:szCs w:val="20"/>
                <w:lang w:val="es-ES"/>
              </w:rPr>
              <w:t xml:space="preserve"> et al.,</w:t>
            </w:r>
            <w:r w:rsidRPr="00B131F3">
              <w:rPr>
                <w:rFonts w:cstheme="minorHAnsi"/>
                <w:sz w:val="20"/>
                <w:szCs w:val="20"/>
                <w:lang w:val="es-ES"/>
              </w:rPr>
              <w:t xml:space="preserve"> 2018). </w:t>
            </w:r>
          </w:p>
          <w:p w:rsidR="007B0BF3" w:rsidRPr="00B131F3" w:rsidRDefault="007B0BF3" w:rsidP="007B0BF3">
            <w:pPr>
              <w:spacing w:after="60"/>
              <w:jc w:val="both"/>
              <w:rPr>
                <w:rFonts w:cstheme="minorHAnsi"/>
                <w:sz w:val="20"/>
                <w:szCs w:val="20"/>
                <w:lang w:val="es-ES"/>
              </w:rPr>
            </w:pPr>
            <w:r w:rsidRPr="00B131F3">
              <w:rPr>
                <w:rFonts w:cstheme="minorHAnsi"/>
                <w:sz w:val="20"/>
                <w:szCs w:val="20"/>
                <w:lang w:val="es-ES"/>
              </w:rPr>
              <w:t xml:space="preserve">La subestimación del consumo real por parte de las encuestas poblacionales implica una subestimación de las </w:t>
            </w:r>
            <m:oMath>
              <m:sSub>
                <m:sSubPr>
                  <m:ctrlPr>
                    <w:rPr>
                      <w:rFonts w:ascii="Cambria Math" w:hAnsi="Cambria Math" w:cstheme="minorHAnsi"/>
                      <w:sz w:val="20"/>
                      <w:szCs w:val="20"/>
                    </w:rPr>
                  </m:ctrlPr>
                </m:sSubPr>
                <m:e>
                  <m:r>
                    <m:rPr>
                      <m:sty m:val="p"/>
                    </m:rPr>
                    <w:rPr>
                      <w:rFonts w:ascii="Cambria Math" w:hAnsi="Cambria Math" w:cstheme="minorHAnsi"/>
                      <w:sz w:val="20"/>
                      <w:szCs w:val="20"/>
                      <w:lang w:val="es-ES"/>
                    </w:rPr>
                    <m:t>P</m:t>
                  </m:r>
                </m:e>
                <m:sub>
                  <m:r>
                    <m:rPr>
                      <m:sty m:val="p"/>
                    </m:rPr>
                    <w:rPr>
                      <w:rFonts w:ascii="Cambria Math" w:hAnsi="Cambria Math" w:cstheme="minorHAnsi"/>
                      <w:sz w:val="20"/>
                      <w:szCs w:val="20"/>
                      <w:lang w:val="es-ES"/>
                    </w:rPr>
                    <m:t>i</m:t>
                  </m:r>
                </m:sub>
              </m:sSub>
            </m:oMath>
            <w:r w:rsidRPr="00B131F3">
              <w:rPr>
                <w:rFonts w:eastAsiaTheme="minorEastAsia" w:cstheme="minorHAnsi"/>
                <w:i/>
                <w:sz w:val="20"/>
                <w:szCs w:val="20"/>
                <w:lang w:val="es-ES"/>
              </w:rPr>
              <w:t>,</w:t>
            </w:r>
            <w:r w:rsidRPr="00B131F3">
              <w:rPr>
                <w:rFonts w:eastAsiaTheme="minorEastAsia" w:cstheme="minorHAnsi"/>
                <w:sz w:val="20"/>
                <w:szCs w:val="20"/>
                <w:lang w:val="es-ES"/>
              </w:rPr>
              <w:t xml:space="preserve"> y la subestimación por parte de </w:t>
            </w:r>
            <w:r w:rsidRPr="00B131F3">
              <w:rPr>
                <w:rFonts w:cstheme="minorHAnsi"/>
                <w:sz w:val="20"/>
                <w:szCs w:val="20"/>
                <w:lang w:val="es-ES"/>
              </w:rPr>
              <w:t xml:space="preserve">los estudios de cohorte implica una sobreestimación de </w:t>
            </w:r>
            <w:proofErr w:type="spellStart"/>
            <w:r w:rsidRPr="00B131F3">
              <w:rPr>
                <w:rFonts w:cstheme="minorHAnsi"/>
                <w:sz w:val="20"/>
                <w:szCs w:val="20"/>
                <w:lang w:val="es-ES"/>
              </w:rPr>
              <w:t>RRi</w:t>
            </w:r>
            <w:proofErr w:type="spellEnd"/>
            <w:r w:rsidRPr="00B131F3">
              <w:rPr>
                <w:rFonts w:cstheme="minorHAnsi"/>
                <w:sz w:val="20"/>
                <w:szCs w:val="20"/>
                <w:lang w:val="es-ES"/>
              </w:rPr>
              <w:t xml:space="preserve"> y del exceso de riesgo relativo (RRi-1). Por ejemplo, si en un estudio de cohorte que subestima el consumo de alcohol un 20% se encuentra un RR de 3 para cirrosis hepática en los bebedores de 4 unidades de bebida estándar –UBE-/día en comparación con los abstemios, ese RR corresponderá a un consumo real de 5 UBE/día (4x1</w:t>
            </w:r>
            <w:proofErr w:type="gramStart"/>
            <w:r w:rsidRPr="00B131F3">
              <w:rPr>
                <w:rFonts w:cstheme="minorHAnsi"/>
                <w:sz w:val="20"/>
                <w:szCs w:val="20"/>
                <w:lang w:val="es-ES"/>
              </w:rPr>
              <w:t>,20</w:t>
            </w:r>
            <w:proofErr w:type="gramEnd"/>
            <w:r w:rsidRPr="00B131F3">
              <w:rPr>
                <w:rFonts w:cstheme="minorHAnsi"/>
                <w:sz w:val="20"/>
                <w:szCs w:val="20"/>
                <w:lang w:val="es-ES"/>
              </w:rPr>
              <w:t>=5), por lo que se estará sobreestimando el RR real. Por lo tanto, considerando la fórmula de cálculo de las fracciones atribuibles poblacionales al alcohol (</w:t>
            </w:r>
            <w:proofErr w:type="spellStart"/>
            <w:r w:rsidRPr="00B131F3">
              <w:rPr>
                <w:rFonts w:cstheme="minorHAnsi"/>
                <w:bCs/>
                <w:sz w:val="20"/>
                <w:szCs w:val="20"/>
                <w:lang w:val="es-ES"/>
              </w:rPr>
              <w:t>FAP</w:t>
            </w:r>
            <w:r w:rsidRPr="00B131F3">
              <w:rPr>
                <w:rFonts w:cstheme="minorHAnsi"/>
                <w:bCs/>
                <w:sz w:val="20"/>
                <w:szCs w:val="20"/>
                <w:vertAlign w:val="subscript"/>
                <w:lang w:val="es-ES"/>
              </w:rPr>
              <w:t>c</w:t>
            </w:r>
            <w:proofErr w:type="spellEnd"/>
            <w:r w:rsidRPr="00B131F3">
              <w:rPr>
                <w:rFonts w:cstheme="minorHAnsi"/>
                <w:sz w:val="20"/>
                <w:szCs w:val="20"/>
                <w:lang w:val="es-ES"/>
              </w:rPr>
              <w:t>), la sobreestimación de RR</w:t>
            </w:r>
            <w:r w:rsidRPr="00B131F3">
              <w:rPr>
                <w:rFonts w:cstheme="minorHAnsi"/>
                <w:sz w:val="20"/>
                <w:szCs w:val="20"/>
                <w:vertAlign w:val="subscript"/>
                <w:lang w:val="es-ES"/>
              </w:rPr>
              <w:t>i</w:t>
            </w:r>
            <w:r w:rsidRPr="00B131F3">
              <w:rPr>
                <w:rFonts w:cstheme="minorHAnsi"/>
                <w:sz w:val="20"/>
                <w:szCs w:val="20"/>
                <w:lang w:val="es-ES"/>
              </w:rPr>
              <w:t xml:space="preserve">-1 estaría compensando en parte la subestimación de las </w:t>
            </w:r>
            <m:oMath>
              <m:sSub>
                <m:sSubPr>
                  <m:ctrlPr>
                    <w:rPr>
                      <w:rFonts w:ascii="Cambria Math" w:hAnsi="Cambria Math" w:cstheme="minorHAnsi"/>
                      <w:sz w:val="20"/>
                      <w:szCs w:val="20"/>
                    </w:rPr>
                  </m:ctrlPr>
                </m:sSubPr>
                <m:e>
                  <m:r>
                    <m:rPr>
                      <m:sty m:val="p"/>
                    </m:rPr>
                    <w:rPr>
                      <w:rFonts w:ascii="Cambria Math" w:hAnsi="Cambria Math" w:cstheme="minorHAnsi"/>
                      <w:sz w:val="20"/>
                      <w:szCs w:val="20"/>
                      <w:lang w:val="es-ES"/>
                    </w:rPr>
                    <m:t>P</m:t>
                  </m:r>
                </m:e>
                <m:sub>
                  <m:r>
                    <m:rPr>
                      <m:sty m:val="p"/>
                    </m:rPr>
                    <w:rPr>
                      <w:rFonts w:ascii="Cambria Math" w:hAnsi="Cambria Math" w:cstheme="minorHAnsi"/>
                      <w:sz w:val="20"/>
                      <w:szCs w:val="20"/>
                      <w:lang w:val="es-ES"/>
                    </w:rPr>
                    <m:t>i</m:t>
                  </m:r>
                </m:sub>
              </m:sSub>
            </m:oMath>
            <w:r w:rsidRPr="00B131F3">
              <w:rPr>
                <w:rFonts w:cstheme="minorHAnsi"/>
                <w:sz w:val="20"/>
                <w:szCs w:val="20"/>
                <w:lang w:val="es-ES"/>
              </w:rPr>
              <w:t xml:space="preserve">, aunque no del todo. Si el nivel de subestimación del consumo en los estudios de cohortes y en las encuestas poblacionales fuese similar, en principio no habría que efectuar ninguna corrección porque la sobreestimación de los </w:t>
            </w:r>
            <w:proofErr w:type="spellStart"/>
            <w:r w:rsidRPr="00B131F3">
              <w:rPr>
                <w:rFonts w:cstheme="minorHAnsi"/>
                <w:sz w:val="20"/>
                <w:szCs w:val="20"/>
                <w:lang w:val="es-ES"/>
              </w:rPr>
              <w:t>RRi</w:t>
            </w:r>
            <w:proofErr w:type="spellEnd"/>
            <w:r w:rsidRPr="00B131F3">
              <w:rPr>
                <w:rFonts w:cstheme="minorHAnsi"/>
                <w:sz w:val="20"/>
                <w:szCs w:val="20"/>
                <w:lang w:val="es-ES"/>
              </w:rPr>
              <w:t xml:space="preserve"> compensaría completamente la subestimación de las </w:t>
            </w:r>
            <m:oMath>
              <m:sSub>
                <m:sSubPr>
                  <m:ctrlPr>
                    <w:rPr>
                      <w:rFonts w:ascii="Cambria Math" w:hAnsi="Cambria Math" w:cstheme="minorHAnsi"/>
                      <w:sz w:val="20"/>
                      <w:szCs w:val="20"/>
                    </w:rPr>
                  </m:ctrlPr>
                </m:sSubPr>
                <m:e>
                  <m:r>
                    <m:rPr>
                      <m:sty m:val="p"/>
                    </m:rPr>
                    <w:rPr>
                      <w:rFonts w:ascii="Cambria Math" w:hAnsi="Cambria Math" w:cstheme="minorHAnsi"/>
                      <w:sz w:val="20"/>
                      <w:szCs w:val="20"/>
                      <w:lang w:val="es-ES"/>
                    </w:rPr>
                    <m:t>P</m:t>
                  </m:r>
                </m:e>
                <m:sub>
                  <m:r>
                    <m:rPr>
                      <m:sty m:val="p"/>
                    </m:rPr>
                    <w:rPr>
                      <w:rFonts w:ascii="Cambria Math" w:hAnsi="Cambria Math" w:cstheme="minorHAnsi"/>
                      <w:sz w:val="20"/>
                      <w:szCs w:val="20"/>
                      <w:lang w:val="es-ES"/>
                    </w:rPr>
                    <m:t>i</m:t>
                  </m:r>
                </m:sub>
              </m:sSub>
            </m:oMath>
            <w:r w:rsidRPr="00B131F3">
              <w:rPr>
                <w:rFonts w:eastAsiaTheme="minorEastAsia" w:cstheme="minorHAnsi"/>
                <w:i/>
                <w:sz w:val="20"/>
                <w:szCs w:val="20"/>
                <w:lang w:val="es-ES"/>
              </w:rPr>
              <w:t>,</w:t>
            </w:r>
            <w:r w:rsidRPr="00B131F3">
              <w:rPr>
                <w:rFonts w:eastAsiaTheme="minorEastAsia" w:cstheme="minorHAnsi"/>
                <w:sz w:val="20"/>
                <w:szCs w:val="20"/>
                <w:lang w:val="es-ES"/>
              </w:rPr>
              <w:t xml:space="preserve"> </w:t>
            </w:r>
            <w:r w:rsidRPr="00B131F3">
              <w:rPr>
                <w:rFonts w:cstheme="minorHAnsi"/>
                <w:sz w:val="20"/>
                <w:szCs w:val="20"/>
                <w:lang w:val="es-ES"/>
              </w:rPr>
              <w:t xml:space="preserve">generando estimaciones no sesgadas de las </w:t>
            </w:r>
            <w:proofErr w:type="spellStart"/>
            <w:r w:rsidRPr="00B131F3">
              <w:rPr>
                <w:rFonts w:cstheme="minorHAnsi"/>
                <w:sz w:val="20"/>
                <w:szCs w:val="20"/>
                <w:lang w:val="es-ES"/>
              </w:rPr>
              <w:t>FAPc</w:t>
            </w:r>
            <w:proofErr w:type="spellEnd"/>
            <w:r w:rsidRPr="00B131F3">
              <w:rPr>
                <w:rFonts w:cstheme="minorHAnsi"/>
                <w:sz w:val="20"/>
                <w:szCs w:val="20"/>
                <w:lang w:val="es-ES"/>
              </w:rPr>
              <w:t xml:space="preserve">. Sin embargo, se sabe que el nivel de subestimación es bastante mayor en las encuestas (aproximadamente 60%-70%) que en los estudios de cohortes (aproximadamente 40%), por lo que si no se corrigen las </w:t>
            </w:r>
            <m:oMath>
              <m:sSub>
                <m:sSubPr>
                  <m:ctrlPr>
                    <w:rPr>
                      <w:rFonts w:ascii="Cambria Math" w:hAnsi="Cambria Math" w:cstheme="minorHAnsi"/>
                      <w:sz w:val="20"/>
                      <w:szCs w:val="20"/>
                    </w:rPr>
                  </m:ctrlPr>
                </m:sSubPr>
                <m:e>
                  <m:r>
                    <m:rPr>
                      <m:sty m:val="p"/>
                    </m:rPr>
                    <w:rPr>
                      <w:rFonts w:ascii="Cambria Math" w:hAnsi="Cambria Math" w:cstheme="minorHAnsi"/>
                      <w:sz w:val="20"/>
                      <w:szCs w:val="20"/>
                      <w:lang w:val="es-ES"/>
                    </w:rPr>
                    <m:t>P</m:t>
                  </m:r>
                </m:e>
                <m:sub>
                  <m:r>
                    <m:rPr>
                      <m:sty m:val="p"/>
                    </m:rPr>
                    <w:rPr>
                      <w:rFonts w:ascii="Cambria Math" w:hAnsi="Cambria Math" w:cstheme="minorHAnsi"/>
                      <w:sz w:val="20"/>
                      <w:szCs w:val="20"/>
                      <w:lang w:val="es-ES"/>
                    </w:rPr>
                    <m:t>i</m:t>
                  </m:r>
                </m:sub>
              </m:sSub>
            </m:oMath>
            <w:r w:rsidRPr="00B131F3">
              <w:rPr>
                <w:rFonts w:cstheme="minorHAnsi"/>
                <w:sz w:val="20"/>
                <w:szCs w:val="20"/>
                <w:lang w:val="es-ES"/>
              </w:rPr>
              <w:t xml:space="preserve">, su subestimación no podrá ser compensada por la sobreestimación de los RRi y el algoritmo subestimará las </w:t>
            </w:r>
            <w:proofErr w:type="spellStart"/>
            <w:r w:rsidRPr="00B131F3">
              <w:rPr>
                <w:rFonts w:cstheme="minorHAnsi"/>
                <w:sz w:val="20"/>
                <w:szCs w:val="20"/>
                <w:lang w:val="es-ES"/>
              </w:rPr>
              <w:t>FAPc</w:t>
            </w:r>
            <w:proofErr w:type="spellEnd"/>
            <w:r w:rsidRPr="00B131F3">
              <w:rPr>
                <w:rFonts w:cstheme="minorHAnsi"/>
                <w:sz w:val="20"/>
                <w:szCs w:val="20"/>
                <w:lang w:val="es-ES"/>
              </w:rPr>
              <w:t xml:space="preserve"> y consecuentemente MAA.</w:t>
            </w:r>
          </w:p>
          <w:p w:rsidR="007B0BF3" w:rsidRPr="00B131F3" w:rsidRDefault="007B0BF3" w:rsidP="007B0BF3">
            <w:pPr>
              <w:spacing w:after="60"/>
              <w:jc w:val="both"/>
              <w:rPr>
                <w:sz w:val="20"/>
                <w:szCs w:val="20"/>
                <w:highlight w:val="yellow"/>
                <w:lang w:val="es-ES"/>
              </w:rPr>
            </w:pPr>
            <w:r w:rsidRPr="00B131F3">
              <w:rPr>
                <w:rFonts w:cstheme="minorHAnsi"/>
                <w:sz w:val="20"/>
                <w:szCs w:val="20"/>
                <w:lang w:val="es-ES"/>
              </w:rPr>
              <w:t xml:space="preserve">Con cifras desiguales de cobertura en encuestas poblacionales y estudios de cohorte, para compensar la sobreestimación de los </w:t>
            </w:r>
            <w:proofErr w:type="spellStart"/>
            <w:r w:rsidRPr="00B131F3">
              <w:rPr>
                <w:rFonts w:cstheme="minorHAnsi"/>
                <w:sz w:val="20"/>
                <w:szCs w:val="20"/>
                <w:lang w:val="es-ES"/>
              </w:rPr>
              <w:t>RR</w:t>
            </w:r>
            <w:r w:rsidRPr="00B131F3">
              <w:rPr>
                <w:rFonts w:cstheme="minorHAnsi"/>
                <w:sz w:val="20"/>
                <w:szCs w:val="20"/>
                <w:vertAlign w:val="subscript"/>
                <w:lang w:val="es-ES"/>
              </w:rPr>
              <w:t>i</w:t>
            </w:r>
            <w:proofErr w:type="spellEnd"/>
            <w:r w:rsidRPr="00B131F3">
              <w:rPr>
                <w:rFonts w:cstheme="minorHAnsi"/>
                <w:sz w:val="20"/>
                <w:szCs w:val="20"/>
                <w:lang w:val="es-ES"/>
              </w:rPr>
              <w:t xml:space="preserve">, bastaría con corregir </w:t>
            </w:r>
            <w:proofErr w:type="spellStart"/>
            <w:r w:rsidRPr="00B131F3">
              <w:rPr>
                <w:rFonts w:cstheme="minorHAnsi"/>
                <w:sz w:val="20"/>
                <w:szCs w:val="20"/>
                <w:lang w:val="es-ES"/>
              </w:rPr>
              <w:t>Aa</w:t>
            </w:r>
            <w:proofErr w:type="spellEnd"/>
            <w:r w:rsidRPr="00B131F3">
              <w:rPr>
                <w:rFonts w:cstheme="minorHAnsi"/>
                <w:sz w:val="20"/>
                <w:szCs w:val="20"/>
                <w:lang w:val="es-ES"/>
              </w:rPr>
              <w:t xml:space="preserve"> desde su valor hasta (100%-S</w:t>
            </w:r>
            <w:r w:rsidRPr="00B131F3">
              <w:rPr>
                <w:rFonts w:cstheme="minorHAnsi"/>
                <w:sz w:val="20"/>
                <w:szCs w:val="20"/>
                <w:vertAlign w:val="subscript"/>
                <w:lang w:val="es-ES"/>
              </w:rPr>
              <w:t>c</w:t>
            </w:r>
            <w:r w:rsidRPr="00B131F3">
              <w:rPr>
                <w:rFonts w:cstheme="minorHAnsi"/>
                <w:sz w:val="20"/>
                <w:szCs w:val="20"/>
                <w:lang w:val="es-ES"/>
              </w:rPr>
              <w:t>) Ar, siendo S</w:t>
            </w:r>
            <w:r w:rsidRPr="00B131F3">
              <w:rPr>
                <w:rFonts w:cstheme="minorHAnsi"/>
                <w:sz w:val="20"/>
                <w:szCs w:val="20"/>
                <w:vertAlign w:val="subscript"/>
                <w:lang w:val="es-ES"/>
              </w:rPr>
              <w:t>c</w:t>
            </w:r>
            <w:r w:rsidRPr="00B131F3">
              <w:rPr>
                <w:rFonts w:cstheme="minorHAnsi"/>
                <w:sz w:val="20"/>
                <w:szCs w:val="20"/>
                <w:lang w:val="es-ES"/>
              </w:rPr>
              <w:t xml:space="preserve"> el nivel de subestimación del consumo en los estudios de cohortes; es decir, bastaría con corregir </w:t>
            </w:r>
            <w:proofErr w:type="spellStart"/>
            <w:r w:rsidRPr="00B131F3">
              <w:rPr>
                <w:rFonts w:cstheme="minorHAnsi"/>
                <w:sz w:val="20"/>
                <w:szCs w:val="20"/>
                <w:lang w:val="es-ES"/>
              </w:rPr>
              <w:t>Aa</w:t>
            </w:r>
            <w:proofErr w:type="spellEnd"/>
            <w:r w:rsidRPr="00B131F3">
              <w:rPr>
                <w:rFonts w:cstheme="minorHAnsi"/>
                <w:sz w:val="20"/>
                <w:szCs w:val="20"/>
                <w:lang w:val="es-ES"/>
              </w:rPr>
              <w:t xml:space="preserve"> hasta el 61,7% de Ar (100%-38,3%=61,7%). Sin embargo, se recomienda hacerlo hasta el 80% porque las encuestas poblacionales subestiman el consumo per cápita real de alcohol no solo debido a </w:t>
            </w:r>
            <w:proofErr w:type="spellStart"/>
            <w:r w:rsidRPr="00B131F3">
              <w:rPr>
                <w:rFonts w:cstheme="minorHAnsi"/>
                <w:sz w:val="20"/>
                <w:szCs w:val="20"/>
                <w:lang w:val="es-ES"/>
              </w:rPr>
              <w:t>subnotificación</w:t>
            </w:r>
            <w:proofErr w:type="spellEnd"/>
            <w:r w:rsidRPr="00B131F3">
              <w:rPr>
                <w:rFonts w:cstheme="minorHAnsi"/>
                <w:sz w:val="20"/>
                <w:szCs w:val="20"/>
                <w:lang w:val="es-ES"/>
              </w:rPr>
              <w:t xml:space="preserve"> del consumo, sino también a </w:t>
            </w:r>
            <w:proofErr w:type="spellStart"/>
            <w:r w:rsidRPr="00B131F3">
              <w:rPr>
                <w:rFonts w:cstheme="minorHAnsi"/>
                <w:sz w:val="20"/>
                <w:szCs w:val="20"/>
                <w:lang w:val="es-ES"/>
              </w:rPr>
              <w:t>subrepresentación</w:t>
            </w:r>
            <w:proofErr w:type="spellEnd"/>
            <w:r w:rsidRPr="00B131F3">
              <w:rPr>
                <w:rFonts w:cstheme="minorHAnsi"/>
                <w:sz w:val="20"/>
                <w:szCs w:val="20"/>
                <w:lang w:val="es-ES"/>
              </w:rPr>
              <w:t xml:space="preserve"> de los bebedores excesivos en las muestras domiciliarias o telefónicas (sesgo de selección), ya que es más probable que estas personas estén institucionalizadas (prisión, hospital, etc.), carezcan de hogar, no estén en casa en el momento de la encuesta o no tengan/contesten al teléfono. En cambio, en los estudios de cohortes, una eventual </w:t>
            </w:r>
            <w:proofErr w:type="spellStart"/>
            <w:r w:rsidRPr="00B131F3">
              <w:rPr>
                <w:rFonts w:cstheme="minorHAnsi"/>
                <w:sz w:val="20"/>
                <w:szCs w:val="20"/>
                <w:lang w:val="es-ES"/>
              </w:rPr>
              <w:t>subrepresentación</w:t>
            </w:r>
            <w:proofErr w:type="spellEnd"/>
            <w:r w:rsidRPr="00B131F3">
              <w:rPr>
                <w:rFonts w:cstheme="minorHAnsi"/>
                <w:sz w:val="20"/>
                <w:szCs w:val="20"/>
                <w:lang w:val="es-ES"/>
              </w:rPr>
              <w:t xml:space="preserve"> de los bebedores excesivos, algo que no se puede descartar, no sesgaría las estimaciones de </w:t>
            </w:r>
            <w:proofErr w:type="spellStart"/>
            <w:r w:rsidRPr="00B131F3">
              <w:rPr>
                <w:rFonts w:cstheme="minorHAnsi"/>
                <w:sz w:val="20"/>
                <w:szCs w:val="20"/>
                <w:lang w:val="es-ES"/>
              </w:rPr>
              <w:t>RRi</w:t>
            </w:r>
            <w:proofErr w:type="spellEnd"/>
            <w:r w:rsidRPr="00B131F3">
              <w:rPr>
                <w:rFonts w:cstheme="minorHAnsi"/>
                <w:sz w:val="20"/>
                <w:szCs w:val="20"/>
                <w:lang w:val="es-ES"/>
              </w:rPr>
              <w:t xml:space="preserve">.  Esto equivale a decir que una fracción de la subestimación Sc se debe a la </w:t>
            </w:r>
            <w:proofErr w:type="spellStart"/>
            <w:r w:rsidRPr="00B131F3">
              <w:rPr>
                <w:rFonts w:cstheme="minorHAnsi"/>
                <w:sz w:val="20"/>
                <w:szCs w:val="20"/>
                <w:lang w:val="es-ES"/>
              </w:rPr>
              <w:t>subrepresentación</w:t>
            </w:r>
            <w:proofErr w:type="spellEnd"/>
            <w:r w:rsidRPr="00B131F3">
              <w:rPr>
                <w:rFonts w:cstheme="minorHAnsi"/>
                <w:sz w:val="20"/>
                <w:szCs w:val="20"/>
                <w:lang w:val="es-ES"/>
              </w:rPr>
              <w:t xml:space="preserve"> de los bebedores excesivos en las encuestas, un factor que en los estudios de cohortes no sesga las estimaciones de los </w:t>
            </w:r>
            <w:proofErr w:type="spellStart"/>
            <w:r w:rsidRPr="00B131F3">
              <w:rPr>
                <w:rFonts w:cstheme="minorHAnsi"/>
                <w:sz w:val="20"/>
                <w:szCs w:val="20"/>
                <w:lang w:val="es-ES"/>
              </w:rPr>
              <w:t>RRi</w:t>
            </w:r>
            <w:proofErr w:type="spellEnd"/>
            <w:r w:rsidRPr="00B131F3">
              <w:rPr>
                <w:rFonts w:cstheme="minorHAnsi"/>
                <w:sz w:val="20"/>
                <w:szCs w:val="20"/>
                <w:lang w:val="es-ES"/>
              </w:rPr>
              <w:t xml:space="preserve">. Por lo tanto, al estimar el grado de corrección de </w:t>
            </w:r>
            <w:proofErr w:type="spellStart"/>
            <w:r w:rsidRPr="00B131F3">
              <w:rPr>
                <w:rFonts w:cstheme="minorHAnsi"/>
                <w:sz w:val="20"/>
                <w:szCs w:val="20"/>
                <w:lang w:val="es-ES"/>
              </w:rPr>
              <w:t>Aa</w:t>
            </w:r>
            <w:proofErr w:type="spellEnd"/>
            <w:r w:rsidRPr="00B131F3">
              <w:rPr>
                <w:rFonts w:cstheme="minorHAnsi"/>
                <w:sz w:val="20"/>
                <w:szCs w:val="20"/>
                <w:lang w:val="es-ES"/>
              </w:rPr>
              <w:t xml:space="preserve"> requerido lo adecuado parece descontar esa fracción del Sc total; es decir, corregir </w:t>
            </w:r>
            <w:proofErr w:type="spellStart"/>
            <w:r w:rsidRPr="00B131F3">
              <w:rPr>
                <w:rFonts w:cstheme="minorHAnsi"/>
                <w:sz w:val="20"/>
                <w:szCs w:val="20"/>
                <w:lang w:val="es-ES"/>
              </w:rPr>
              <w:t>Aa</w:t>
            </w:r>
            <w:proofErr w:type="spellEnd"/>
            <w:r w:rsidRPr="00B131F3">
              <w:rPr>
                <w:rFonts w:cstheme="minorHAnsi"/>
                <w:sz w:val="20"/>
                <w:szCs w:val="20"/>
                <w:lang w:val="es-ES"/>
              </w:rPr>
              <w:t xml:space="preserve"> desde su valor hasta [100%-(</w:t>
            </w:r>
            <w:proofErr w:type="spellStart"/>
            <w:r w:rsidRPr="00B131F3">
              <w:rPr>
                <w:rFonts w:cstheme="minorHAnsi"/>
                <w:sz w:val="20"/>
                <w:szCs w:val="20"/>
                <w:lang w:val="es-ES"/>
              </w:rPr>
              <w:t>x.Sc</w:t>
            </w:r>
            <w:proofErr w:type="spellEnd"/>
            <w:r w:rsidRPr="00B131F3">
              <w:rPr>
                <w:rFonts w:cstheme="minorHAnsi"/>
                <w:sz w:val="20"/>
                <w:szCs w:val="20"/>
                <w:lang w:val="es-ES"/>
              </w:rPr>
              <w:t>)] Ar, siendo x la fracción de S</w:t>
            </w:r>
            <w:r w:rsidRPr="00B131F3">
              <w:rPr>
                <w:rFonts w:cstheme="minorHAnsi"/>
                <w:sz w:val="20"/>
                <w:szCs w:val="20"/>
                <w:vertAlign w:val="subscript"/>
                <w:lang w:val="es-ES"/>
              </w:rPr>
              <w:t>c</w:t>
            </w:r>
            <w:r w:rsidRPr="00B131F3">
              <w:rPr>
                <w:rFonts w:cstheme="minorHAnsi"/>
                <w:sz w:val="20"/>
                <w:szCs w:val="20"/>
                <w:lang w:val="es-ES"/>
              </w:rPr>
              <w:t xml:space="preserve"> debida a la </w:t>
            </w:r>
            <w:proofErr w:type="spellStart"/>
            <w:r w:rsidRPr="00B131F3">
              <w:rPr>
                <w:rFonts w:cstheme="minorHAnsi"/>
                <w:sz w:val="20"/>
                <w:szCs w:val="20"/>
                <w:lang w:val="es-ES"/>
              </w:rPr>
              <w:t>subrepresentación</w:t>
            </w:r>
            <w:proofErr w:type="spellEnd"/>
            <w:r w:rsidRPr="00B131F3">
              <w:rPr>
                <w:rFonts w:cstheme="minorHAnsi"/>
                <w:sz w:val="20"/>
                <w:szCs w:val="20"/>
                <w:lang w:val="es-ES"/>
              </w:rPr>
              <w:t xml:space="preserve"> de los bebedores excesivos en los estudios de cohortes. No hay datos empíricos sobre el valor de S</w:t>
            </w:r>
            <w:r w:rsidRPr="00B131F3">
              <w:rPr>
                <w:rFonts w:cstheme="minorHAnsi"/>
                <w:sz w:val="20"/>
                <w:szCs w:val="20"/>
                <w:vertAlign w:val="subscript"/>
                <w:lang w:val="es-ES"/>
              </w:rPr>
              <w:t>c</w:t>
            </w:r>
            <w:r w:rsidRPr="00B131F3">
              <w:rPr>
                <w:rFonts w:cstheme="minorHAnsi"/>
                <w:sz w:val="20"/>
                <w:szCs w:val="20"/>
                <w:lang w:val="es-ES"/>
              </w:rPr>
              <w:t>, pero asumiendo un S</w:t>
            </w:r>
            <w:r w:rsidRPr="00B131F3">
              <w:rPr>
                <w:rFonts w:cstheme="minorHAnsi"/>
                <w:sz w:val="20"/>
                <w:szCs w:val="20"/>
                <w:vertAlign w:val="subscript"/>
                <w:lang w:val="es-ES"/>
              </w:rPr>
              <w:t>C</w:t>
            </w:r>
            <w:r w:rsidRPr="00B131F3">
              <w:rPr>
                <w:rFonts w:cstheme="minorHAnsi"/>
                <w:sz w:val="20"/>
                <w:szCs w:val="20"/>
                <w:lang w:val="es-ES"/>
              </w:rPr>
              <w:t xml:space="preserve"> de 0,5, habría que corregir </w:t>
            </w:r>
            <w:proofErr w:type="spellStart"/>
            <w:r w:rsidRPr="00B131F3">
              <w:rPr>
                <w:rFonts w:cstheme="minorHAnsi"/>
                <w:sz w:val="20"/>
                <w:szCs w:val="20"/>
                <w:lang w:val="es-ES"/>
              </w:rPr>
              <w:t>Aa</w:t>
            </w:r>
            <w:proofErr w:type="spellEnd"/>
            <w:r w:rsidRPr="00B131F3">
              <w:rPr>
                <w:rFonts w:cstheme="minorHAnsi"/>
                <w:sz w:val="20"/>
                <w:szCs w:val="20"/>
                <w:lang w:val="es-ES"/>
              </w:rPr>
              <w:t xml:space="preserve"> desde su valor hasta [100%-0,5(38,3%)] Ar; es decir hasta un 80,8% de Ar, por lo que la recomendación de los expertos internacionales de corregir </w:t>
            </w:r>
            <w:proofErr w:type="spellStart"/>
            <w:r w:rsidRPr="00B131F3">
              <w:rPr>
                <w:rFonts w:cstheme="minorHAnsi"/>
                <w:sz w:val="20"/>
                <w:szCs w:val="20"/>
                <w:lang w:val="es-ES"/>
              </w:rPr>
              <w:t>Aa</w:t>
            </w:r>
            <w:proofErr w:type="spellEnd"/>
            <w:r w:rsidRPr="00B131F3">
              <w:rPr>
                <w:rFonts w:cstheme="minorHAnsi"/>
                <w:sz w:val="20"/>
                <w:szCs w:val="20"/>
                <w:lang w:val="es-ES"/>
              </w:rPr>
              <w:t xml:space="preserve"> hasta el 80% de Ar puede ser adecuada (</w:t>
            </w:r>
            <w:proofErr w:type="spellStart"/>
            <w:r w:rsidRPr="00B131F3">
              <w:rPr>
                <w:rFonts w:cstheme="minorHAnsi"/>
                <w:sz w:val="20"/>
                <w:szCs w:val="20"/>
                <w:lang w:val="es-ES"/>
              </w:rPr>
              <w:t>Stockwell</w:t>
            </w:r>
            <w:proofErr w:type="spellEnd"/>
            <w:r w:rsidR="00B131F3">
              <w:rPr>
                <w:rFonts w:cstheme="minorHAnsi"/>
                <w:sz w:val="20"/>
                <w:szCs w:val="20"/>
                <w:lang w:val="es-ES"/>
              </w:rPr>
              <w:t>,</w:t>
            </w:r>
            <w:r w:rsidRPr="00B131F3">
              <w:rPr>
                <w:rFonts w:cstheme="minorHAnsi"/>
                <w:sz w:val="20"/>
                <w:szCs w:val="20"/>
                <w:lang w:val="es-ES"/>
              </w:rPr>
              <w:t xml:space="preserve"> </w:t>
            </w:r>
            <w:r w:rsidR="003B685E">
              <w:rPr>
                <w:rFonts w:cstheme="minorHAnsi"/>
                <w:sz w:val="20"/>
                <w:szCs w:val="20"/>
                <w:lang w:val="es-ES"/>
              </w:rPr>
              <w:t xml:space="preserve">et al., </w:t>
            </w:r>
            <w:r w:rsidRPr="00B131F3">
              <w:rPr>
                <w:rFonts w:cstheme="minorHAnsi"/>
                <w:sz w:val="20"/>
                <w:szCs w:val="20"/>
                <w:lang w:val="es-ES"/>
              </w:rPr>
              <w:t xml:space="preserve">2018). En cualquier caso, corregir </w:t>
            </w:r>
            <w:proofErr w:type="spellStart"/>
            <w:r w:rsidRPr="00B131F3">
              <w:rPr>
                <w:rFonts w:cstheme="minorHAnsi"/>
                <w:sz w:val="20"/>
                <w:szCs w:val="20"/>
                <w:lang w:val="es-ES"/>
              </w:rPr>
              <w:t>Aa</w:t>
            </w:r>
            <w:proofErr w:type="spellEnd"/>
            <w:r w:rsidRPr="00B131F3">
              <w:rPr>
                <w:rFonts w:cstheme="minorHAnsi"/>
                <w:sz w:val="20"/>
                <w:szCs w:val="20"/>
                <w:lang w:val="es-ES"/>
              </w:rPr>
              <w:t xml:space="preserve"> hasta el 100% del valor de Ar, generaría necesariamente una sobreestimación de las </w:t>
            </w:r>
            <w:proofErr w:type="spellStart"/>
            <w:r w:rsidRPr="00B131F3">
              <w:rPr>
                <w:rFonts w:cstheme="minorHAnsi"/>
                <w:bCs/>
                <w:sz w:val="20"/>
                <w:szCs w:val="20"/>
                <w:lang w:val="es-ES"/>
              </w:rPr>
              <w:t>FAP</w:t>
            </w:r>
            <w:r w:rsidRPr="00B131F3">
              <w:rPr>
                <w:rFonts w:cstheme="minorHAnsi"/>
                <w:bCs/>
                <w:sz w:val="20"/>
                <w:szCs w:val="20"/>
                <w:vertAlign w:val="subscript"/>
                <w:lang w:val="es-ES"/>
              </w:rPr>
              <w:t>c</w:t>
            </w:r>
            <w:proofErr w:type="spellEnd"/>
            <w:r w:rsidRPr="00B131F3">
              <w:rPr>
                <w:rFonts w:cstheme="minorHAnsi"/>
                <w:sz w:val="20"/>
                <w:szCs w:val="20"/>
                <w:lang w:val="es-ES"/>
              </w:rPr>
              <w:t xml:space="preserve">. </w:t>
            </w:r>
          </w:p>
        </w:tc>
      </w:tr>
    </w:tbl>
    <w:p w:rsidR="007B0BF3" w:rsidRPr="007B0BF3" w:rsidRDefault="007B0BF3" w:rsidP="007B0BF3">
      <w:pPr>
        <w:rPr>
          <w:highlight w:val="yellow"/>
        </w:rPr>
      </w:pPr>
    </w:p>
    <w:p w:rsidR="007B0BF3" w:rsidRPr="007B0BF3" w:rsidRDefault="007B0BF3" w:rsidP="007B0BF3">
      <w:pPr>
        <w:rPr>
          <w:highlight w:val="yellow"/>
        </w:rPr>
      </w:pPr>
      <w:r w:rsidRPr="007B0BF3">
        <w:rPr>
          <w:highlight w:val="yellow"/>
        </w:rPr>
        <w:br w:type="page"/>
      </w:r>
    </w:p>
    <w:p w:rsidR="007B0BF3" w:rsidRPr="007B0BF3" w:rsidRDefault="007B0BF3" w:rsidP="007B0BF3">
      <w:pPr>
        <w:jc w:val="both"/>
        <w:rPr>
          <w:rFonts w:cs="Times New Roman"/>
          <w:i/>
          <w:sz w:val="20"/>
          <w:szCs w:val="20"/>
        </w:rPr>
      </w:pPr>
      <w:r w:rsidRPr="007B0BF3">
        <w:rPr>
          <w:rFonts w:cs="Times New Roman"/>
          <w:sz w:val="20"/>
          <w:szCs w:val="20"/>
        </w:rPr>
        <w:lastRenderedPageBreak/>
        <w:t xml:space="preserve">Apéndice Tabla 2. </w:t>
      </w:r>
      <w:r w:rsidRPr="007B0BF3">
        <w:rPr>
          <w:rFonts w:cs="Times New Roman"/>
          <w:i/>
          <w:sz w:val="20"/>
          <w:szCs w:val="20"/>
        </w:rPr>
        <w:t xml:space="preserve">Métodos usados en las encuestas poblacionales utilizadas para obtener datos sobre consumo </w:t>
      </w:r>
      <w:proofErr w:type="spellStart"/>
      <w:r w:rsidRPr="007B0BF3">
        <w:rPr>
          <w:rFonts w:cs="Times New Roman"/>
          <w:i/>
          <w:sz w:val="20"/>
          <w:szCs w:val="20"/>
        </w:rPr>
        <w:t>autoinformado</w:t>
      </w:r>
      <w:proofErr w:type="spellEnd"/>
      <w:r w:rsidRPr="007B0BF3">
        <w:rPr>
          <w:rFonts w:cs="Times New Roman"/>
          <w:i/>
          <w:sz w:val="20"/>
          <w:szCs w:val="20"/>
        </w:rPr>
        <w:t xml:space="preserve"> de alcohol en la población de ≥15 años y algoritmos de cálculo. España, 2001-2017</w:t>
      </w:r>
    </w:p>
    <w:p w:rsidR="007B0BF3" w:rsidRPr="007B0BF3" w:rsidRDefault="007B0BF3" w:rsidP="007B0BF3">
      <w:pPr>
        <w:rPr>
          <w:rFonts w:ascii="Times New Roman" w:eastAsia="Times New Roman" w:hAnsi="Times New Roman" w:cs="Times New Roman"/>
          <w:sz w:val="14"/>
          <w:szCs w:val="14"/>
          <w:lang w:eastAsia="es-ES"/>
        </w:rPr>
      </w:pPr>
    </w:p>
    <w:tbl>
      <w:tblPr>
        <w:tblW w:w="9377" w:type="dxa"/>
        <w:tblInd w:w="-147"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33"/>
        <w:gridCol w:w="585"/>
        <w:gridCol w:w="1138"/>
        <w:gridCol w:w="1986"/>
        <w:gridCol w:w="1859"/>
        <w:gridCol w:w="1134"/>
        <w:gridCol w:w="715"/>
        <w:gridCol w:w="1127"/>
      </w:tblGrid>
      <w:tr w:rsidR="007B0BF3" w:rsidRPr="007B0BF3" w:rsidTr="00B46127">
        <w:trPr>
          <w:trHeight w:val="439"/>
        </w:trPr>
        <w:tc>
          <w:tcPr>
            <w:tcW w:w="833" w:type="dxa"/>
            <w:tcBorders>
              <w:top w:val="single" w:sz="4" w:space="0" w:color="auto"/>
              <w:bottom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Encuesta y año</w:t>
            </w:r>
          </w:p>
        </w:tc>
        <w:tc>
          <w:tcPr>
            <w:tcW w:w="585" w:type="dxa"/>
            <w:tcBorders>
              <w:top w:val="single" w:sz="4" w:space="0" w:color="auto"/>
              <w:bottom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n</w:t>
            </w:r>
          </w:p>
        </w:tc>
        <w:tc>
          <w:tcPr>
            <w:tcW w:w="1138" w:type="dxa"/>
            <w:tcBorders>
              <w:top w:val="single" w:sz="4" w:space="0" w:color="auto"/>
              <w:bottom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Administración</w:t>
            </w:r>
          </w:p>
        </w:tc>
        <w:tc>
          <w:tcPr>
            <w:tcW w:w="1986" w:type="dxa"/>
            <w:tcBorders>
              <w:top w:val="single" w:sz="4" w:space="0" w:color="auto"/>
              <w:bottom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Tipos de bebidas</w:t>
            </w:r>
          </w:p>
        </w:tc>
        <w:tc>
          <w:tcPr>
            <w:tcW w:w="1859" w:type="dxa"/>
            <w:tcBorders>
              <w:top w:val="single" w:sz="4" w:space="0" w:color="auto"/>
              <w:bottom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Preguntas sobre frecuencia de consumo</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rPr>
                <w:rFonts w:ascii="Calibri" w:eastAsia="Times New Roman" w:hAnsi="Calibri" w:cs="Calibri"/>
                <w:b/>
                <w:bCs/>
                <w:color w:val="000000"/>
                <w:sz w:val="14"/>
                <w:szCs w:val="14"/>
                <w:lang w:eastAsia="es-ES"/>
              </w:rPr>
            </w:pPr>
            <w:proofErr w:type="spellStart"/>
            <w:r w:rsidRPr="007B0BF3">
              <w:rPr>
                <w:rFonts w:ascii="Calibri" w:eastAsia="Times New Roman" w:hAnsi="Calibri" w:cs="Calibri"/>
                <w:b/>
                <w:bCs/>
                <w:color w:val="000000"/>
                <w:sz w:val="14"/>
                <w:szCs w:val="14"/>
                <w:lang w:eastAsia="es-ES"/>
              </w:rPr>
              <w:t>Preg</w:t>
            </w:r>
            <w:proofErr w:type="spellEnd"/>
            <w:r w:rsidRPr="007B0BF3">
              <w:rPr>
                <w:rFonts w:ascii="Calibri" w:eastAsia="Times New Roman" w:hAnsi="Calibri" w:cs="Calibri"/>
                <w:b/>
                <w:bCs/>
                <w:color w:val="000000"/>
                <w:sz w:val="14"/>
                <w:szCs w:val="14"/>
                <w:lang w:eastAsia="es-ES"/>
              </w:rPr>
              <w:t>. sobre nº de unidades de bebida (UBE)</w:t>
            </w:r>
          </w:p>
        </w:tc>
        <w:tc>
          <w:tcPr>
            <w:tcW w:w="715" w:type="dxa"/>
            <w:tcBorders>
              <w:top w:val="single" w:sz="4" w:space="0" w:color="auto"/>
              <w:bottom w:val="single" w:sz="4" w:space="0" w:color="auto"/>
            </w:tcBorders>
            <w:shd w:val="clear" w:color="auto" w:fill="auto"/>
            <w:noWrap/>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Tasa de respuesta (%)</w:t>
            </w:r>
          </w:p>
        </w:tc>
        <w:tc>
          <w:tcPr>
            <w:tcW w:w="1127" w:type="dxa"/>
            <w:tcBorders>
              <w:top w:val="single" w:sz="4" w:space="0" w:color="auto"/>
              <w:bottom w:val="single" w:sz="4" w:space="0" w:color="auto"/>
            </w:tcBorders>
            <w:shd w:val="clear" w:color="auto" w:fill="auto"/>
            <w:noWrap/>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 no-respuesta consumo alcohol</w:t>
            </w:r>
          </w:p>
        </w:tc>
      </w:tr>
      <w:tr w:rsidR="007B0BF3" w:rsidRPr="007B0BF3" w:rsidTr="00B46127">
        <w:tc>
          <w:tcPr>
            <w:tcW w:w="833"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ENS 2001</w:t>
            </w:r>
          </w:p>
        </w:tc>
        <w:tc>
          <w:tcPr>
            <w:tcW w:w="58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20293</w:t>
            </w:r>
          </w:p>
        </w:tc>
        <w:tc>
          <w:tcPr>
            <w:tcW w:w="1138"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PAPI</w:t>
            </w:r>
          </w:p>
        </w:tc>
        <w:tc>
          <w:tcPr>
            <w:tcW w:w="1986"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6: cerveza con alcohol, vino/cava, aperitivos, sidra, brandy/licores combinados, whisky</w:t>
            </w:r>
          </w:p>
        </w:tc>
        <w:tc>
          <w:tcPr>
            <w:tcW w:w="1859"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Ítem-11 opciones por bebida sobre nº veces/día, semana, mes, año o vida (6 ítems)</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 para cada bebida sobre nº UBE/vez de consumo (6 Ítems)</w:t>
            </w:r>
          </w:p>
        </w:tc>
        <w:tc>
          <w:tcPr>
            <w:tcW w:w="715" w:type="dxa"/>
            <w:tcBorders>
              <w:top w:val="single" w:sz="4" w:space="0" w:color="auto"/>
              <w:bottom w:val="single" w:sz="4" w:space="0" w:color="auto"/>
            </w:tcBorders>
            <w:shd w:val="clear" w:color="auto" w:fill="auto"/>
            <w:noWrap/>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_</w:t>
            </w:r>
          </w:p>
        </w:tc>
        <w:tc>
          <w:tcPr>
            <w:tcW w:w="1127" w:type="dxa"/>
            <w:tcBorders>
              <w:top w:val="single" w:sz="4" w:space="0" w:color="auto"/>
              <w:bottom w:val="single" w:sz="4" w:space="0" w:color="auto"/>
            </w:tcBorders>
            <w:shd w:val="clear" w:color="auto" w:fill="auto"/>
            <w:noWrap/>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3,5</w:t>
            </w:r>
          </w:p>
        </w:tc>
      </w:tr>
      <w:tr w:rsidR="007B0BF3" w:rsidRPr="007B0BF3" w:rsidTr="00B46127">
        <w:tc>
          <w:tcPr>
            <w:tcW w:w="833"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ENS 2006</w:t>
            </w:r>
          </w:p>
        </w:tc>
        <w:tc>
          <w:tcPr>
            <w:tcW w:w="58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28596</w:t>
            </w:r>
          </w:p>
        </w:tc>
        <w:tc>
          <w:tcPr>
            <w:tcW w:w="1138"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PAPI</w:t>
            </w:r>
          </w:p>
        </w:tc>
        <w:tc>
          <w:tcPr>
            <w:tcW w:w="1986"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6: cerveza con alcohol, vino/cava, aperitivos con alcohol, sidra, brandy/licores/combinados, whisky</w:t>
            </w:r>
          </w:p>
        </w:tc>
        <w:tc>
          <w:tcPr>
            <w:tcW w:w="1859"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 xml:space="preserve">Ítem-6 opciones por bebida sobre periodicidad de consumo diario, semanal, mensual, anual y vida + ítem por bebida sobre nº veces (12 ítems) </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 para cada bebida sobre nº UBE/vez de consumo (6 Ítems)</w:t>
            </w:r>
          </w:p>
        </w:tc>
        <w:tc>
          <w:tcPr>
            <w:tcW w:w="715" w:type="dxa"/>
            <w:tcBorders>
              <w:top w:val="single" w:sz="4" w:space="0" w:color="auto"/>
              <w:bottom w:val="single" w:sz="4" w:space="0" w:color="auto"/>
            </w:tcBorders>
            <w:shd w:val="clear" w:color="auto" w:fill="auto"/>
            <w:noWrap/>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71,6</w:t>
            </w:r>
          </w:p>
        </w:tc>
        <w:tc>
          <w:tcPr>
            <w:tcW w:w="1127" w:type="dxa"/>
            <w:tcBorders>
              <w:top w:val="single" w:sz="4" w:space="0" w:color="auto"/>
              <w:bottom w:val="single" w:sz="4" w:space="0" w:color="auto"/>
            </w:tcBorders>
            <w:shd w:val="clear" w:color="auto" w:fill="auto"/>
            <w:noWrap/>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3,3</w:t>
            </w:r>
          </w:p>
        </w:tc>
      </w:tr>
      <w:tr w:rsidR="007B0BF3" w:rsidRPr="007B0BF3" w:rsidTr="00B46127">
        <w:tc>
          <w:tcPr>
            <w:tcW w:w="833"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EESE 2009</w:t>
            </w:r>
            <w:r w:rsidRPr="007B0BF3">
              <w:rPr>
                <w:rFonts w:ascii="Calibri" w:eastAsia="Times New Roman" w:hAnsi="Calibri" w:cs="Calibri"/>
                <w:b/>
                <w:bCs/>
                <w:color w:val="000000"/>
                <w:sz w:val="14"/>
                <w:szCs w:val="14"/>
                <w:vertAlign w:val="superscript"/>
                <w:lang w:eastAsia="es-ES"/>
              </w:rPr>
              <w:t>a</w:t>
            </w:r>
          </w:p>
        </w:tc>
        <w:tc>
          <w:tcPr>
            <w:tcW w:w="58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21223</w:t>
            </w:r>
          </w:p>
        </w:tc>
        <w:tc>
          <w:tcPr>
            <w:tcW w:w="1138"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CAPI</w:t>
            </w:r>
          </w:p>
        </w:tc>
        <w:tc>
          <w:tcPr>
            <w:tcW w:w="1986"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6: cerveza, vino, vermut/anís, licores fruta, otras (combinados, coñac, ron, orujo, whisky, etc.), bebidas locales (carajillo, sidra)</w:t>
            </w:r>
          </w:p>
        </w:tc>
        <w:tc>
          <w:tcPr>
            <w:tcW w:w="1859"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 xml:space="preserve">Ítem-6 opciones para bebidas alcohólicas sobre nº días/veces en últimos 12 meses (1 ítem) </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 para cada bebida y día de una semana normal (42 ítems)</w:t>
            </w:r>
          </w:p>
        </w:tc>
        <w:tc>
          <w:tcPr>
            <w:tcW w:w="71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71,1</w:t>
            </w:r>
          </w:p>
        </w:tc>
        <w:tc>
          <w:tcPr>
            <w:tcW w:w="1127"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1,1</w:t>
            </w:r>
          </w:p>
        </w:tc>
      </w:tr>
      <w:tr w:rsidR="007B0BF3" w:rsidRPr="007B0BF3" w:rsidTr="00B46127">
        <w:tc>
          <w:tcPr>
            <w:tcW w:w="833"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ENS2011</w:t>
            </w:r>
          </w:p>
        </w:tc>
        <w:tc>
          <w:tcPr>
            <w:tcW w:w="58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20776</w:t>
            </w:r>
          </w:p>
        </w:tc>
        <w:tc>
          <w:tcPr>
            <w:tcW w:w="1138"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CAPI</w:t>
            </w:r>
          </w:p>
        </w:tc>
        <w:tc>
          <w:tcPr>
            <w:tcW w:w="1986"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6: cervezas con alcohol, vinos/cava, vermuts/fino/jerez, licores/anís/pacharán,  whisky/coñac/combinados, bebidas locales (carajillo, sidra)</w:t>
            </w:r>
          </w:p>
        </w:tc>
        <w:tc>
          <w:tcPr>
            <w:tcW w:w="1859"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 para bebidas alcohólicas sobre consumo sí/no en últimos 12 meses + ítem sobre consumo sí/no en vida + Ítem-5 opciones sobre nº días/veces en últimos 12 meses (3 ítems)</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 para cada bebida y día de una semana normal (42 ítems)</w:t>
            </w:r>
          </w:p>
        </w:tc>
        <w:tc>
          <w:tcPr>
            <w:tcW w:w="71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73,3</w:t>
            </w:r>
          </w:p>
        </w:tc>
        <w:tc>
          <w:tcPr>
            <w:tcW w:w="1127"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4,3</w:t>
            </w:r>
          </w:p>
        </w:tc>
      </w:tr>
      <w:tr w:rsidR="007B0BF3" w:rsidRPr="007B0BF3" w:rsidTr="00B46127">
        <w:tc>
          <w:tcPr>
            <w:tcW w:w="833"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EESE 2014</w:t>
            </w:r>
            <w:r w:rsidRPr="007B0BF3">
              <w:rPr>
                <w:rFonts w:ascii="Calibri" w:eastAsia="Times New Roman" w:hAnsi="Calibri" w:cs="Calibri"/>
                <w:b/>
                <w:bCs/>
                <w:color w:val="000000"/>
                <w:sz w:val="14"/>
                <w:szCs w:val="14"/>
                <w:vertAlign w:val="superscript"/>
                <w:lang w:eastAsia="es-ES"/>
              </w:rPr>
              <w:t>a</w:t>
            </w:r>
          </w:p>
        </w:tc>
        <w:tc>
          <w:tcPr>
            <w:tcW w:w="58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22842</w:t>
            </w:r>
          </w:p>
        </w:tc>
        <w:tc>
          <w:tcPr>
            <w:tcW w:w="1138"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CAPI</w:t>
            </w:r>
          </w:p>
        </w:tc>
        <w:tc>
          <w:tcPr>
            <w:tcW w:w="1986"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6: cervezas con alcohol, vinos/cava, vermuts/fino/jerez, licores/anís/pacharán,  whisky/coñac/combinados, bebidas locales (carajillo, sidra)</w:t>
            </w:r>
          </w:p>
        </w:tc>
        <w:tc>
          <w:tcPr>
            <w:tcW w:w="1859"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Ítem-9 opciones para bebidas alcohólicas sobre nº días/veces por semana/mes en últimos 12 meses  (1 ítem)</w:t>
            </w:r>
          </w:p>
        </w:tc>
        <w:tc>
          <w:tcPr>
            <w:tcW w:w="1134"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 para cada bebida y día de una semana normal (42 ítems)</w:t>
            </w:r>
          </w:p>
        </w:tc>
        <w:tc>
          <w:tcPr>
            <w:tcW w:w="715"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74,6</w:t>
            </w:r>
          </w:p>
        </w:tc>
        <w:tc>
          <w:tcPr>
            <w:tcW w:w="1127" w:type="dxa"/>
            <w:tcBorders>
              <w:top w:val="single" w:sz="4" w:space="0" w:color="auto"/>
              <w:bottom w:val="single" w:sz="4" w:space="0" w:color="auto"/>
            </w:tcBorders>
            <w:shd w:val="clear" w:color="auto" w:fill="auto"/>
            <w:tcMar>
              <w:top w:w="57" w:type="dxa"/>
              <w:left w:w="57" w:type="dxa"/>
              <w:bottom w:w="57" w:type="dxa"/>
              <w:right w:w="57" w:type="dxa"/>
            </w:tcMar>
            <w:hideMark/>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0,9</w:t>
            </w:r>
          </w:p>
        </w:tc>
      </w:tr>
      <w:tr w:rsidR="007B0BF3" w:rsidRPr="007B0BF3" w:rsidTr="00B46127">
        <w:tc>
          <w:tcPr>
            <w:tcW w:w="833"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b/>
                <w:bCs/>
                <w:color w:val="000000"/>
                <w:sz w:val="14"/>
                <w:szCs w:val="14"/>
                <w:lang w:eastAsia="es-ES"/>
              </w:rPr>
            </w:pPr>
            <w:r w:rsidRPr="007B0BF3">
              <w:rPr>
                <w:rFonts w:ascii="Calibri" w:eastAsia="Times New Roman" w:hAnsi="Calibri" w:cs="Calibri"/>
                <w:b/>
                <w:bCs/>
                <w:color w:val="000000"/>
                <w:sz w:val="14"/>
                <w:szCs w:val="14"/>
                <w:lang w:eastAsia="es-ES"/>
              </w:rPr>
              <w:t>ENS 2017</w:t>
            </w:r>
          </w:p>
        </w:tc>
        <w:tc>
          <w:tcPr>
            <w:tcW w:w="585"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23860</w:t>
            </w:r>
          </w:p>
        </w:tc>
        <w:tc>
          <w:tcPr>
            <w:tcW w:w="1138"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CAPI</w:t>
            </w:r>
          </w:p>
        </w:tc>
        <w:tc>
          <w:tcPr>
            <w:tcW w:w="1986"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6: cervezas con alcohol, vinos/cava, vermuts/fino/jerez, licores/anís/pacharán,  whisky/coñac/combinados, bebidas locales (carajillo, sidra)</w:t>
            </w:r>
          </w:p>
        </w:tc>
        <w:tc>
          <w:tcPr>
            <w:tcW w:w="1859"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Ítem-9 opciones para bebidas alcohólicas sobre nº días/veces por semana/mes en últimos 12 meses (1 ítem)</w:t>
            </w:r>
          </w:p>
        </w:tc>
        <w:tc>
          <w:tcPr>
            <w:tcW w:w="1134"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Ítem para cada bebida y día de una semana normal (42 ítems)</w:t>
            </w:r>
          </w:p>
        </w:tc>
        <w:tc>
          <w:tcPr>
            <w:tcW w:w="715"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73,7</w:t>
            </w:r>
          </w:p>
        </w:tc>
        <w:tc>
          <w:tcPr>
            <w:tcW w:w="1127" w:type="dxa"/>
            <w:tcBorders>
              <w:top w:val="single" w:sz="4" w:space="0" w:color="auto"/>
            </w:tcBorders>
            <w:shd w:val="clear" w:color="auto" w:fill="auto"/>
            <w:tcMar>
              <w:top w:w="57" w:type="dxa"/>
              <w:left w:w="57" w:type="dxa"/>
              <w:bottom w:w="57" w:type="dxa"/>
              <w:right w:w="57" w:type="dxa"/>
            </w:tcMar>
          </w:tcPr>
          <w:p w:rsidR="007B0BF3" w:rsidRPr="007B0BF3" w:rsidRDefault="007B0BF3" w:rsidP="007B0BF3">
            <w:pPr>
              <w:spacing w:after="0" w:line="240" w:lineRule="auto"/>
              <w:jc w:val="center"/>
              <w:rPr>
                <w:rFonts w:ascii="Calibri" w:eastAsia="Times New Roman" w:hAnsi="Calibri" w:cs="Calibri"/>
                <w:color w:val="000000"/>
                <w:sz w:val="14"/>
                <w:szCs w:val="14"/>
                <w:lang w:eastAsia="es-ES"/>
              </w:rPr>
            </w:pPr>
            <w:r w:rsidRPr="007B0BF3">
              <w:rPr>
                <w:rFonts w:ascii="Calibri" w:eastAsia="Times New Roman" w:hAnsi="Calibri" w:cs="Calibri"/>
                <w:color w:val="000000"/>
                <w:sz w:val="14"/>
                <w:szCs w:val="14"/>
                <w:lang w:eastAsia="es-ES"/>
              </w:rPr>
              <w:t>4,1</w:t>
            </w:r>
          </w:p>
        </w:tc>
      </w:tr>
    </w:tbl>
    <w:p w:rsidR="007B0BF3" w:rsidRPr="007B0BF3" w:rsidRDefault="007B0BF3" w:rsidP="007B0BF3">
      <w:pPr>
        <w:spacing w:after="0" w:line="240" w:lineRule="auto"/>
        <w:ind w:left="-567"/>
        <w:jc w:val="both"/>
        <w:rPr>
          <w:rFonts w:cstheme="minorHAnsi"/>
          <w:b/>
          <w:sz w:val="14"/>
          <w:szCs w:val="14"/>
          <w:vertAlign w:val="superscript"/>
        </w:rPr>
      </w:pPr>
    </w:p>
    <w:p w:rsidR="007B0BF3" w:rsidRPr="007B0BF3" w:rsidRDefault="007B0BF3" w:rsidP="007B0BF3">
      <w:pPr>
        <w:spacing w:after="0" w:line="240" w:lineRule="auto"/>
        <w:jc w:val="both"/>
        <w:rPr>
          <w:rFonts w:cstheme="minorHAnsi"/>
          <w:b/>
          <w:sz w:val="14"/>
          <w:szCs w:val="14"/>
        </w:rPr>
      </w:pPr>
      <w:r w:rsidRPr="007B0BF3">
        <w:rPr>
          <w:rFonts w:cstheme="minorHAnsi"/>
          <w:b/>
          <w:sz w:val="14"/>
          <w:szCs w:val="14"/>
        </w:rPr>
        <w:t xml:space="preserve">Nota: </w:t>
      </w:r>
      <w:r w:rsidRPr="007B0BF3">
        <w:rPr>
          <w:rFonts w:cstheme="minorHAnsi"/>
          <w:sz w:val="14"/>
          <w:szCs w:val="14"/>
        </w:rPr>
        <w:t xml:space="preserve">Fueron características comunes a todas las encuestas: 1) Población de referencia: Población ≥15 años residente en hogares familiares en España. 2) Procedimiento de muestreo: Muestreo </w:t>
      </w:r>
      <w:proofErr w:type="spellStart"/>
      <w:r w:rsidRPr="007B0BF3">
        <w:rPr>
          <w:rFonts w:cstheme="minorHAnsi"/>
          <w:sz w:val="14"/>
          <w:szCs w:val="14"/>
        </w:rPr>
        <w:t>trietápico</w:t>
      </w:r>
      <w:proofErr w:type="spellEnd"/>
      <w:r w:rsidRPr="007B0BF3">
        <w:rPr>
          <w:rFonts w:cstheme="minorHAnsi"/>
          <w:sz w:val="14"/>
          <w:szCs w:val="14"/>
        </w:rPr>
        <w:t xml:space="preserve"> estratificado por conglomerados. Las tres etapas fueron: sección censal, hogar familiar e individuo. Las unidades de primera etapa se estratificaron por comunidad autónoma y tamaño del municipio. 3) El período de referencia para las preguntas de cantidad-frecuencia fueron los últimos 12 meses.</w:t>
      </w:r>
    </w:p>
    <w:p w:rsidR="007B0BF3" w:rsidRPr="007B0BF3" w:rsidRDefault="007B0BF3" w:rsidP="007B0BF3">
      <w:pPr>
        <w:spacing w:after="0" w:line="240" w:lineRule="auto"/>
        <w:jc w:val="both"/>
        <w:rPr>
          <w:rFonts w:cstheme="minorHAnsi"/>
          <w:sz w:val="14"/>
          <w:szCs w:val="14"/>
        </w:rPr>
      </w:pPr>
      <w:r w:rsidRPr="007B0BF3">
        <w:rPr>
          <w:rFonts w:cstheme="minorHAnsi"/>
          <w:b/>
          <w:sz w:val="14"/>
          <w:szCs w:val="14"/>
        </w:rPr>
        <w:t xml:space="preserve">ENS: </w:t>
      </w:r>
      <w:r w:rsidRPr="007B0BF3">
        <w:rPr>
          <w:rFonts w:cstheme="minorHAnsi"/>
          <w:sz w:val="14"/>
          <w:szCs w:val="14"/>
        </w:rPr>
        <w:t>Encuesta Nacional de Salud</w:t>
      </w:r>
      <w:r w:rsidRPr="007B0BF3">
        <w:rPr>
          <w:rFonts w:cstheme="minorHAnsi"/>
          <w:b/>
          <w:sz w:val="14"/>
          <w:szCs w:val="14"/>
        </w:rPr>
        <w:t xml:space="preserve">. EESE: </w:t>
      </w:r>
      <w:r w:rsidRPr="007B0BF3">
        <w:rPr>
          <w:rFonts w:cstheme="minorHAnsi"/>
          <w:sz w:val="14"/>
          <w:szCs w:val="14"/>
        </w:rPr>
        <w:t xml:space="preserve">Encuesta Europea de Salud en España. </w:t>
      </w:r>
      <w:r w:rsidRPr="007B0BF3">
        <w:rPr>
          <w:rFonts w:cstheme="minorHAnsi"/>
          <w:b/>
          <w:sz w:val="14"/>
          <w:szCs w:val="14"/>
          <w:vertAlign w:val="superscript"/>
        </w:rPr>
        <w:t>a</w:t>
      </w:r>
      <w:r w:rsidRPr="007B0BF3">
        <w:rPr>
          <w:rFonts w:cstheme="minorHAnsi"/>
          <w:sz w:val="14"/>
          <w:szCs w:val="14"/>
        </w:rPr>
        <w:t>: Las preguntas cantidad-frecuencia son en principio comunes con otros países europeos, lo que puede facilitar las comparaciones entre países.</w:t>
      </w:r>
    </w:p>
    <w:p w:rsidR="007B0BF3" w:rsidRPr="007B0BF3" w:rsidRDefault="007B0BF3" w:rsidP="007B0BF3">
      <w:pPr>
        <w:spacing w:after="0" w:line="240" w:lineRule="auto"/>
        <w:jc w:val="both"/>
        <w:rPr>
          <w:rFonts w:cstheme="minorHAnsi"/>
          <w:sz w:val="14"/>
          <w:szCs w:val="14"/>
        </w:rPr>
      </w:pPr>
      <w:r w:rsidRPr="007B0BF3">
        <w:rPr>
          <w:rFonts w:cstheme="minorHAnsi"/>
          <w:b/>
          <w:sz w:val="14"/>
          <w:szCs w:val="14"/>
        </w:rPr>
        <w:t>n</w:t>
      </w:r>
      <w:r w:rsidRPr="007B0BF3">
        <w:rPr>
          <w:rFonts w:cstheme="minorHAnsi"/>
          <w:sz w:val="14"/>
          <w:szCs w:val="14"/>
        </w:rPr>
        <w:t xml:space="preserve">: Se refiere al tamaño efectivo de la muestra o nº de </w:t>
      </w:r>
      <w:proofErr w:type="spellStart"/>
      <w:r w:rsidRPr="007B0BF3">
        <w:rPr>
          <w:rFonts w:cstheme="minorHAnsi"/>
          <w:sz w:val="14"/>
          <w:szCs w:val="14"/>
        </w:rPr>
        <w:t>respondentes</w:t>
      </w:r>
      <w:proofErr w:type="spellEnd"/>
      <w:r w:rsidRPr="007B0BF3">
        <w:rPr>
          <w:rFonts w:cstheme="minorHAnsi"/>
          <w:sz w:val="14"/>
          <w:szCs w:val="14"/>
        </w:rPr>
        <w:t xml:space="preserve"> para los que puedo obtenerse una estimación del consumo de alcohol. </w:t>
      </w:r>
    </w:p>
    <w:p w:rsidR="007B0BF3" w:rsidRPr="007B0BF3" w:rsidRDefault="007B0BF3" w:rsidP="007B0BF3">
      <w:pPr>
        <w:spacing w:after="0" w:line="240" w:lineRule="auto"/>
        <w:jc w:val="both"/>
        <w:rPr>
          <w:rFonts w:cstheme="minorHAnsi"/>
          <w:sz w:val="14"/>
          <w:szCs w:val="14"/>
        </w:rPr>
      </w:pPr>
      <w:r w:rsidRPr="007B0BF3">
        <w:rPr>
          <w:rFonts w:cstheme="minorHAnsi"/>
          <w:b/>
          <w:sz w:val="14"/>
          <w:szCs w:val="14"/>
        </w:rPr>
        <w:t>PAPI</w:t>
      </w:r>
      <w:r w:rsidRPr="007B0BF3">
        <w:rPr>
          <w:rFonts w:cstheme="minorHAnsi"/>
          <w:sz w:val="14"/>
          <w:szCs w:val="14"/>
        </w:rPr>
        <w:t xml:space="preserve">: </w:t>
      </w:r>
      <w:proofErr w:type="spellStart"/>
      <w:r w:rsidRPr="007B0BF3">
        <w:rPr>
          <w:rFonts w:cstheme="minorHAnsi"/>
          <w:sz w:val="14"/>
          <w:szCs w:val="14"/>
        </w:rPr>
        <w:t>Paper</w:t>
      </w:r>
      <w:proofErr w:type="spellEnd"/>
      <w:r w:rsidRPr="007B0BF3">
        <w:rPr>
          <w:rFonts w:cstheme="minorHAnsi"/>
          <w:sz w:val="14"/>
          <w:szCs w:val="14"/>
        </w:rPr>
        <w:t xml:space="preserve">-and-Pen Interview [Entrevista con Papel-y-Lápiz]. </w:t>
      </w:r>
      <w:r w:rsidRPr="007B0BF3">
        <w:rPr>
          <w:rFonts w:cstheme="minorHAnsi"/>
          <w:b/>
          <w:sz w:val="14"/>
          <w:szCs w:val="14"/>
        </w:rPr>
        <w:t>CAPI:</w:t>
      </w:r>
      <w:r w:rsidRPr="007B0BF3">
        <w:rPr>
          <w:rFonts w:cstheme="minorHAnsi"/>
          <w:sz w:val="14"/>
          <w:szCs w:val="14"/>
        </w:rPr>
        <w:t xml:space="preserve"> </w:t>
      </w:r>
      <w:proofErr w:type="spellStart"/>
      <w:r w:rsidRPr="007B0BF3">
        <w:rPr>
          <w:rFonts w:cstheme="minorHAnsi"/>
          <w:sz w:val="14"/>
          <w:szCs w:val="14"/>
        </w:rPr>
        <w:t>Computer-Assisted</w:t>
      </w:r>
      <w:proofErr w:type="spellEnd"/>
      <w:r w:rsidRPr="007B0BF3">
        <w:rPr>
          <w:rFonts w:cstheme="minorHAnsi"/>
          <w:sz w:val="14"/>
          <w:szCs w:val="14"/>
        </w:rPr>
        <w:t xml:space="preserve"> Personal Interview [Entrevista Personal Asistida por Ordenador]. Excepcionalmente estas encuestas se administraron mediante </w:t>
      </w:r>
      <w:r w:rsidRPr="007B0BF3">
        <w:rPr>
          <w:rFonts w:cstheme="minorHAnsi"/>
          <w:b/>
          <w:sz w:val="14"/>
          <w:szCs w:val="14"/>
        </w:rPr>
        <w:t>CATI:</w:t>
      </w:r>
      <w:r w:rsidRPr="007B0BF3">
        <w:rPr>
          <w:rFonts w:cstheme="minorHAnsi"/>
          <w:sz w:val="14"/>
          <w:szCs w:val="14"/>
        </w:rPr>
        <w:t xml:space="preserve"> </w:t>
      </w:r>
      <w:proofErr w:type="spellStart"/>
      <w:r w:rsidRPr="007B0BF3">
        <w:rPr>
          <w:rFonts w:cstheme="minorHAnsi"/>
          <w:sz w:val="14"/>
          <w:szCs w:val="14"/>
        </w:rPr>
        <w:t>Computer-Assisted</w:t>
      </w:r>
      <w:proofErr w:type="spellEnd"/>
      <w:r w:rsidRPr="007B0BF3">
        <w:rPr>
          <w:rFonts w:cstheme="minorHAnsi"/>
          <w:sz w:val="14"/>
          <w:szCs w:val="14"/>
        </w:rPr>
        <w:t xml:space="preserve"> </w:t>
      </w:r>
      <w:proofErr w:type="spellStart"/>
      <w:r w:rsidRPr="007B0BF3">
        <w:rPr>
          <w:rFonts w:cstheme="minorHAnsi"/>
          <w:sz w:val="14"/>
          <w:szCs w:val="14"/>
        </w:rPr>
        <w:t>Telephone</w:t>
      </w:r>
      <w:proofErr w:type="spellEnd"/>
      <w:r w:rsidRPr="007B0BF3">
        <w:rPr>
          <w:rFonts w:cstheme="minorHAnsi"/>
          <w:sz w:val="14"/>
          <w:szCs w:val="14"/>
        </w:rPr>
        <w:t xml:space="preserve"> Interview [Entrevista Telefónica Asistida por Ordenador]. </w:t>
      </w:r>
    </w:p>
    <w:p w:rsidR="007B0BF3" w:rsidRPr="007B0BF3" w:rsidRDefault="007B0BF3" w:rsidP="007B0BF3">
      <w:pPr>
        <w:spacing w:after="0" w:line="240" w:lineRule="auto"/>
        <w:jc w:val="both"/>
        <w:rPr>
          <w:rFonts w:eastAsia="Times New Roman" w:cstheme="minorHAnsi"/>
          <w:sz w:val="14"/>
          <w:szCs w:val="14"/>
          <w:lang w:eastAsia="es-ES"/>
        </w:rPr>
      </w:pPr>
      <w:r w:rsidRPr="007B0BF3">
        <w:rPr>
          <w:rFonts w:eastAsia="Times New Roman" w:cstheme="minorHAnsi"/>
          <w:b/>
          <w:sz w:val="14"/>
          <w:szCs w:val="14"/>
          <w:lang w:eastAsia="es-ES"/>
        </w:rPr>
        <w:t>Preguntas sobre frecuencia de consumo:</w:t>
      </w:r>
      <w:r w:rsidRPr="007B0BF3">
        <w:rPr>
          <w:rFonts w:eastAsia="Times New Roman" w:cstheme="minorHAnsi"/>
          <w:sz w:val="14"/>
          <w:szCs w:val="14"/>
          <w:lang w:eastAsia="es-ES"/>
        </w:rPr>
        <w:t xml:space="preserve"> A menudo se utiliza el término “veces” para referirse al consumo</w:t>
      </w:r>
      <w:r w:rsidRPr="007B0BF3">
        <w:rPr>
          <w:rFonts w:cstheme="minorHAnsi"/>
          <w:sz w:val="14"/>
          <w:szCs w:val="14"/>
        </w:rPr>
        <w:t xml:space="preserve"> (veces por día, semana, mes o año). Este término es ambiguo, pero generalmente se aplica con el sentido de ocasión de consumo o episodio de consumo, dejando a la interpretación del </w:t>
      </w:r>
      <w:proofErr w:type="spellStart"/>
      <w:r w:rsidRPr="007B0BF3">
        <w:rPr>
          <w:rFonts w:cstheme="minorHAnsi"/>
          <w:sz w:val="14"/>
          <w:szCs w:val="14"/>
        </w:rPr>
        <w:t>respondente</w:t>
      </w:r>
      <w:proofErr w:type="spellEnd"/>
      <w:r w:rsidRPr="007B0BF3">
        <w:rPr>
          <w:rFonts w:cstheme="minorHAnsi"/>
          <w:sz w:val="14"/>
          <w:szCs w:val="14"/>
        </w:rPr>
        <w:t xml:space="preserve"> lo que es un "episodio u ocasión de consumo".</w:t>
      </w:r>
    </w:p>
    <w:p w:rsidR="007B0BF3" w:rsidRPr="007B0BF3" w:rsidRDefault="007B0BF3" w:rsidP="007B0BF3">
      <w:pPr>
        <w:spacing w:after="0" w:line="240" w:lineRule="auto"/>
        <w:jc w:val="both"/>
        <w:rPr>
          <w:rFonts w:cstheme="minorHAnsi"/>
          <w:sz w:val="14"/>
          <w:szCs w:val="14"/>
        </w:rPr>
      </w:pPr>
      <w:proofErr w:type="spellStart"/>
      <w:r w:rsidRPr="007B0BF3">
        <w:rPr>
          <w:rFonts w:cstheme="minorHAnsi"/>
          <w:b/>
          <w:sz w:val="14"/>
          <w:szCs w:val="14"/>
        </w:rPr>
        <w:t>Preg</w:t>
      </w:r>
      <w:proofErr w:type="spellEnd"/>
      <w:r w:rsidRPr="007B0BF3">
        <w:rPr>
          <w:rFonts w:cstheme="minorHAnsi"/>
          <w:b/>
          <w:sz w:val="14"/>
          <w:szCs w:val="14"/>
        </w:rPr>
        <w:t>. sobre el nº de unidades de bebida (UBE)</w:t>
      </w:r>
      <w:r w:rsidRPr="007B0BF3">
        <w:rPr>
          <w:rFonts w:cstheme="minorHAnsi"/>
          <w:sz w:val="14"/>
          <w:szCs w:val="14"/>
        </w:rPr>
        <w:t xml:space="preserve">: Las unidades de bebida estándar (UBE) fueron denominadas en el cuestionario de forma diferente dependiendo del tipo de bebida. El nombre usado generalmente se refiera al recipiente utilizado para el consumo (vasos, copas, cañas, botellines, cervezas, etc.). </w:t>
      </w:r>
    </w:p>
    <w:p w:rsidR="007B0BF3" w:rsidRPr="007B0BF3" w:rsidRDefault="007B0BF3" w:rsidP="007B0BF3">
      <w:pPr>
        <w:spacing w:after="0" w:line="240" w:lineRule="auto"/>
        <w:jc w:val="both"/>
        <w:rPr>
          <w:rFonts w:ascii="Calibri" w:eastAsia="Times New Roman" w:hAnsi="Calibri" w:cs="Calibri"/>
          <w:bCs/>
          <w:color w:val="000000"/>
          <w:sz w:val="14"/>
          <w:szCs w:val="14"/>
          <w:lang w:eastAsia="es-ES"/>
        </w:rPr>
      </w:pPr>
      <w:r w:rsidRPr="007B0BF3">
        <w:rPr>
          <w:rFonts w:ascii="Calibri" w:eastAsia="Times New Roman" w:hAnsi="Calibri" w:cs="Calibri"/>
          <w:b/>
          <w:bCs/>
          <w:color w:val="000000"/>
          <w:sz w:val="14"/>
          <w:szCs w:val="14"/>
          <w:lang w:eastAsia="es-ES"/>
        </w:rPr>
        <w:t xml:space="preserve">Tasa de respuesta (%): </w:t>
      </w:r>
      <w:r w:rsidRPr="007B0BF3">
        <w:rPr>
          <w:rFonts w:ascii="Calibri" w:eastAsia="Times New Roman" w:hAnsi="Calibri" w:cs="Calibri"/>
          <w:bCs/>
          <w:color w:val="000000"/>
          <w:sz w:val="14"/>
          <w:szCs w:val="14"/>
          <w:lang w:eastAsia="es-ES"/>
        </w:rPr>
        <w:t>Se refiere a la tasa de respuesta general a la encuesta o porcentaje de personas inicialmente seleccionadas que accedieron a ser encuestados y completaron la mayor parte de la encuesta.</w:t>
      </w:r>
    </w:p>
    <w:p w:rsidR="007B0BF3" w:rsidRPr="007B0BF3" w:rsidRDefault="007B0BF3" w:rsidP="007B0BF3">
      <w:pPr>
        <w:spacing w:after="0" w:line="240" w:lineRule="auto"/>
        <w:jc w:val="both"/>
        <w:rPr>
          <w:rFonts w:ascii="Calibri" w:eastAsia="Times New Roman" w:hAnsi="Calibri" w:cs="Calibri"/>
          <w:bCs/>
          <w:color w:val="000000"/>
          <w:sz w:val="14"/>
          <w:szCs w:val="14"/>
          <w:lang w:eastAsia="es-ES"/>
        </w:rPr>
      </w:pPr>
      <w:r w:rsidRPr="007B0BF3">
        <w:rPr>
          <w:rFonts w:ascii="Calibri" w:eastAsia="Times New Roman" w:hAnsi="Calibri" w:cs="Calibri"/>
          <w:b/>
          <w:bCs/>
          <w:color w:val="000000"/>
          <w:sz w:val="14"/>
          <w:szCs w:val="14"/>
          <w:lang w:eastAsia="es-ES"/>
        </w:rPr>
        <w:t xml:space="preserve">% no-respuesta consumo alcohol: </w:t>
      </w:r>
      <w:r w:rsidRPr="007B0BF3">
        <w:rPr>
          <w:rFonts w:ascii="Calibri" w:eastAsia="Times New Roman" w:hAnsi="Calibri" w:cs="Calibri"/>
          <w:bCs/>
          <w:color w:val="000000"/>
          <w:sz w:val="14"/>
          <w:szCs w:val="14"/>
          <w:lang w:eastAsia="es-ES"/>
        </w:rPr>
        <w:t>Se refiere al porcentaje de personas que contestaron la encuesta en que no pudo obtenerse una estimación de la cantidad media de alcohol consumida diariamente porque dejaron sin contestar alguna pregunta de cantidad-frecuencia de consumo de alcohol.</w:t>
      </w:r>
    </w:p>
    <w:p w:rsidR="007B0BF3" w:rsidRPr="007B0BF3" w:rsidRDefault="007B0BF3" w:rsidP="007B0BF3">
      <w:pPr>
        <w:rPr>
          <w:rFonts w:cstheme="minorHAnsi"/>
          <w:sz w:val="14"/>
          <w:szCs w:val="14"/>
        </w:rPr>
      </w:pPr>
      <w:r w:rsidRPr="007B0BF3">
        <w:rPr>
          <w:rFonts w:eastAsia="Times New Roman" w:cstheme="minorHAnsi"/>
          <w:b/>
          <w:bCs/>
          <w:sz w:val="14"/>
          <w:szCs w:val="14"/>
          <w:lang w:eastAsia="es-ES"/>
        </w:rPr>
        <w:t>Acceso a las bases de datos individualizados y metadatos:</w:t>
      </w:r>
      <w:r w:rsidRPr="007B0BF3">
        <w:rPr>
          <w:rFonts w:cstheme="minorHAnsi"/>
          <w:sz w:val="14"/>
          <w:szCs w:val="14"/>
        </w:rPr>
        <w:t xml:space="preserve"> Ref.: Instituto Nacional de Estadística.</w:t>
      </w:r>
      <w:r w:rsidRPr="007B0BF3">
        <w:rPr>
          <w:rFonts w:cstheme="minorHAnsi"/>
          <w:color w:val="333333"/>
          <w:sz w:val="14"/>
          <w:szCs w:val="14"/>
        </w:rPr>
        <w:t xml:space="preserve"> </w:t>
      </w:r>
      <w:r w:rsidRPr="007B0BF3">
        <w:rPr>
          <w:rFonts w:cstheme="minorHAnsi"/>
          <w:sz w:val="14"/>
          <w:szCs w:val="14"/>
        </w:rPr>
        <w:t xml:space="preserve">Encuesta Nacional de Salud y Encuesta Europea de Salud </w:t>
      </w:r>
      <w:r w:rsidRPr="007B0BF3">
        <w:rPr>
          <w:rFonts w:cstheme="minorHAnsi"/>
          <w:color w:val="333333"/>
          <w:sz w:val="14"/>
          <w:szCs w:val="14"/>
        </w:rPr>
        <w:t>(</w:t>
      </w:r>
      <w:hyperlink r:id="rId4" w:history="1">
        <w:r w:rsidRPr="007B0BF3">
          <w:rPr>
            <w:rFonts w:cstheme="minorHAnsi"/>
            <w:color w:val="0563C1" w:themeColor="hyperlink"/>
            <w:sz w:val="14"/>
            <w:szCs w:val="14"/>
            <w:u w:val="single"/>
          </w:rPr>
          <w:t>http://www.ine.es/inebmenu/mnu_salud.htm</w:t>
        </w:r>
      </w:hyperlink>
      <w:r w:rsidRPr="007B0BF3">
        <w:rPr>
          <w:rFonts w:cstheme="minorHAnsi"/>
          <w:sz w:val="14"/>
          <w:szCs w:val="14"/>
        </w:rPr>
        <w:t>) y Ministerio de Sanidad, Consumo y Bienestar Social. (</w:t>
      </w:r>
      <w:hyperlink r:id="rId5" w:history="1">
        <w:r w:rsidRPr="007B0BF3">
          <w:rPr>
            <w:rFonts w:cstheme="minorHAnsi"/>
            <w:color w:val="0563C1" w:themeColor="hyperlink"/>
            <w:sz w:val="14"/>
            <w:szCs w:val="14"/>
            <w:u w:val="single"/>
          </w:rPr>
          <w:t>https://www.mscbs.gob.es/estadEstudios/estadisticas/encuestaNacional/</w:t>
        </w:r>
      </w:hyperlink>
      <w:r w:rsidRPr="007B0BF3">
        <w:rPr>
          <w:rFonts w:cstheme="minorHAnsi"/>
          <w:sz w:val="14"/>
          <w:szCs w:val="14"/>
        </w:rPr>
        <w:t>)</w:t>
      </w:r>
    </w:p>
    <w:p w:rsidR="007B0BF3" w:rsidRPr="007B0BF3" w:rsidRDefault="007B0BF3" w:rsidP="007B0BF3">
      <w:pPr>
        <w:ind w:left="-567"/>
        <w:jc w:val="both"/>
        <w:rPr>
          <w:rFonts w:ascii="Times New Roman" w:eastAsia="Times New Roman" w:hAnsi="Times New Roman" w:cs="Times New Roman"/>
          <w:sz w:val="14"/>
          <w:szCs w:val="14"/>
          <w:lang w:eastAsia="es-ES"/>
        </w:rPr>
      </w:pPr>
    </w:p>
    <w:p w:rsidR="007B0BF3" w:rsidRPr="007B0BF3" w:rsidRDefault="007B0BF3" w:rsidP="007B0BF3">
      <w:pPr>
        <w:ind w:left="-567"/>
        <w:jc w:val="both"/>
        <w:rPr>
          <w:rFonts w:ascii="Times New Roman" w:eastAsia="Times New Roman" w:hAnsi="Times New Roman" w:cs="Times New Roman"/>
          <w:sz w:val="14"/>
          <w:szCs w:val="14"/>
          <w:lang w:eastAsia="es-ES"/>
        </w:rPr>
      </w:pPr>
    </w:p>
    <w:p w:rsidR="007B0BF3" w:rsidRPr="007B0BF3" w:rsidRDefault="007B0BF3" w:rsidP="007B0BF3">
      <w:pPr>
        <w:rPr>
          <w:rFonts w:ascii="Times New Roman" w:eastAsia="Times New Roman" w:hAnsi="Times New Roman" w:cs="Times New Roman"/>
          <w:sz w:val="20"/>
          <w:szCs w:val="20"/>
          <w:lang w:eastAsia="es-ES"/>
        </w:rPr>
      </w:pPr>
      <w:r w:rsidRPr="007B0BF3">
        <w:rPr>
          <w:rFonts w:ascii="Times New Roman" w:eastAsia="Times New Roman" w:hAnsi="Times New Roman" w:cs="Times New Roman"/>
          <w:sz w:val="20"/>
          <w:szCs w:val="20"/>
          <w:lang w:eastAsia="es-ES"/>
        </w:rPr>
        <w:br w:type="page"/>
      </w:r>
    </w:p>
    <w:p w:rsidR="007B0BF3" w:rsidRPr="007B0BF3" w:rsidRDefault="007B0BF3" w:rsidP="007B0BF3">
      <w:pPr>
        <w:jc w:val="both"/>
        <w:rPr>
          <w:rFonts w:ascii="Times New Roman" w:eastAsia="Times New Roman" w:hAnsi="Times New Roman" w:cs="Times New Roman"/>
          <w:i/>
          <w:sz w:val="20"/>
          <w:szCs w:val="20"/>
          <w:lang w:eastAsia="es-ES"/>
        </w:rPr>
      </w:pPr>
      <w:r w:rsidRPr="007B0BF3">
        <w:rPr>
          <w:rFonts w:ascii="Times New Roman" w:eastAsia="Times New Roman" w:hAnsi="Times New Roman" w:cs="Times New Roman"/>
          <w:sz w:val="20"/>
          <w:szCs w:val="20"/>
          <w:lang w:eastAsia="es-ES"/>
        </w:rPr>
        <w:lastRenderedPageBreak/>
        <w:t xml:space="preserve">Apéndice Tabla 3. </w:t>
      </w:r>
      <w:r w:rsidRPr="007B0BF3">
        <w:rPr>
          <w:rFonts w:ascii="Times New Roman" w:eastAsia="Times New Roman" w:hAnsi="Times New Roman" w:cs="Times New Roman"/>
          <w:i/>
          <w:sz w:val="20"/>
          <w:szCs w:val="20"/>
          <w:lang w:eastAsia="es-ES"/>
        </w:rPr>
        <w:t>Características de las principales fuentes rutinarias que aportan datos agregados para estimar el consumo per cápita de alcohol en España</w:t>
      </w:r>
    </w:p>
    <w:p w:rsidR="007B0BF3" w:rsidRPr="007B0BF3" w:rsidRDefault="007B0BF3" w:rsidP="007B0BF3">
      <w:pPr>
        <w:ind w:left="-567"/>
        <w:jc w:val="both"/>
        <w:rPr>
          <w:rFonts w:ascii="Times New Roman" w:eastAsia="Times New Roman" w:hAnsi="Times New Roman" w:cs="Times New Roman"/>
          <w:sz w:val="20"/>
          <w:szCs w:val="20"/>
          <w:lang w:eastAsia="es-ES"/>
        </w:rPr>
      </w:pPr>
    </w:p>
    <w:tbl>
      <w:tblPr>
        <w:tblStyle w:val="TableGrid"/>
        <w:tblW w:w="9608" w:type="dxa"/>
        <w:tblInd w:w="-1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2"/>
        <w:gridCol w:w="4705"/>
        <w:gridCol w:w="3571"/>
      </w:tblGrid>
      <w:tr w:rsidR="007B0BF3" w:rsidRPr="007B0BF3" w:rsidTr="00B46127">
        <w:trPr>
          <w:trHeight w:val="227"/>
        </w:trPr>
        <w:tc>
          <w:tcPr>
            <w:tcW w:w="1332" w:type="dxa"/>
            <w:tcBorders>
              <w:top w:val="single" w:sz="4" w:space="0" w:color="auto"/>
              <w:bottom w:val="single" w:sz="4" w:space="0" w:color="auto"/>
            </w:tcBorders>
            <w:tcMar>
              <w:top w:w="28" w:type="dxa"/>
              <w:left w:w="57" w:type="dxa"/>
              <w:bottom w:w="28" w:type="dxa"/>
              <w:right w:w="57" w:type="dxa"/>
            </w:tcMar>
            <w:hideMark/>
          </w:tcPr>
          <w:p w:rsidR="007B0BF3" w:rsidRPr="007B0BF3" w:rsidRDefault="007B0BF3" w:rsidP="007B0BF3">
            <w:pPr>
              <w:spacing w:line="160" w:lineRule="exact"/>
              <w:ind w:left="-18" w:right="-108"/>
              <w:rPr>
                <w:rFonts w:eastAsia="Times New Roman" w:cstheme="minorHAnsi"/>
                <w:b/>
                <w:bCs/>
                <w:sz w:val="14"/>
                <w:szCs w:val="14"/>
                <w:lang w:eastAsia="es-ES"/>
              </w:rPr>
            </w:pPr>
            <w:r w:rsidRPr="007B0BF3">
              <w:rPr>
                <w:rFonts w:eastAsia="Times New Roman" w:cstheme="minorHAnsi"/>
                <w:b/>
                <w:bCs/>
                <w:sz w:val="14"/>
                <w:szCs w:val="14"/>
                <w:lang w:eastAsia="es-ES"/>
              </w:rPr>
              <w:t>FUENTE DE DATOS</w:t>
            </w:r>
          </w:p>
        </w:tc>
        <w:tc>
          <w:tcPr>
            <w:tcW w:w="4705" w:type="dxa"/>
            <w:tcBorders>
              <w:top w:val="single" w:sz="4" w:space="0" w:color="auto"/>
              <w:bottom w:val="single" w:sz="4" w:space="0" w:color="auto"/>
            </w:tcBorders>
            <w:noWrap/>
            <w:tcMar>
              <w:top w:w="28" w:type="dxa"/>
              <w:bottom w:w="28" w:type="dxa"/>
            </w:tcMar>
            <w:hideMark/>
          </w:tcPr>
          <w:p w:rsidR="007B0BF3" w:rsidRPr="007B0BF3" w:rsidRDefault="007B0BF3" w:rsidP="007B0BF3">
            <w:pPr>
              <w:spacing w:line="160" w:lineRule="exact"/>
              <w:ind w:left="-18" w:right="-43"/>
              <w:rPr>
                <w:rFonts w:eastAsia="Times New Roman" w:cstheme="minorHAnsi"/>
                <w:b/>
                <w:bCs/>
                <w:sz w:val="14"/>
                <w:szCs w:val="14"/>
                <w:lang w:eastAsia="es-ES"/>
              </w:rPr>
            </w:pPr>
            <w:r w:rsidRPr="007B0BF3">
              <w:rPr>
                <w:rFonts w:eastAsia="Times New Roman" w:cstheme="minorHAnsi"/>
                <w:b/>
                <w:bCs/>
                <w:sz w:val="14"/>
                <w:szCs w:val="14"/>
                <w:lang w:eastAsia="es-ES"/>
              </w:rPr>
              <w:t>INDICADORES: DEFINICIÓN Y OBTENCIÓN</w:t>
            </w:r>
          </w:p>
        </w:tc>
        <w:tc>
          <w:tcPr>
            <w:tcW w:w="3571" w:type="dxa"/>
            <w:tcBorders>
              <w:top w:val="single" w:sz="4" w:space="0" w:color="auto"/>
              <w:bottom w:val="single" w:sz="4" w:space="0" w:color="auto"/>
            </w:tcBorders>
            <w:noWrap/>
            <w:tcMar>
              <w:top w:w="28" w:type="dxa"/>
              <w:bottom w:w="28" w:type="dxa"/>
            </w:tcMar>
            <w:hideMark/>
          </w:tcPr>
          <w:p w:rsidR="007B0BF3" w:rsidRPr="00B131F3" w:rsidRDefault="007B0BF3" w:rsidP="007B0BF3">
            <w:pPr>
              <w:spacing w:line="160" w:lineRule="exact"/>
              <w:ind w:right="-18"/>
              <w:rPr>
                <w:rFonts w:eastAsia="Times New Roman" w:cstheme="minorHAnsi"/>
                <w:b/>
                <w:bCs/>
                <w:sz w:val="14"/>
                <w:szCs w:val="14"/>
                <w:lang w:val="es-ES" w:eastAsia="es-ES"/>
              </w:rPr>
            </w:pPr>
            <w:r w:rsidRPr="00B131F3">
              <w:rPr>
                <w:rFonts w:eastAsia="Times New Roman" w:cstheme="minorHAnsi"/>
                <w:b/>
                <w:bCs/>
                <w:sz w:val="14"/>
                <w:szCs w:val="14"/>
                <w:lang w:val="es-ES" w:eastAsia="es-ES"/>
              </w:rPr>
              <w:t>COMENTARIOS Y ACCESO A LOS DATOS Y METADATOS</w:t>
            </w:r>
          </w:p>
        </w:tc>
      </w:tr>
      <w:tr w:rsidR="007B0BF3" w:rsidRPr="00B131F3" w:rsidTr="00B46127">
        <w:trPr>
          <w:trHeight w:val="227"/>
        </w:trPr>
        <w:tc>
          <w:tcPr>
            <w:tcW w:w="1332" w:type="dxa"/>
            <w:tcBorders>
              <w:top w:val="single" w:sz="4" w:space="0" w:color="auto"/>
              <w:bottom w:val="single" w:sz="4" w:space="0" w:color="auto"/>
            </w:tcBorders>
            <w:tcMar>
              <w:top w:w="28" w:type="dxa"/>
              <w:left w:w="57" w:type="dxa"/>
              <w:bottom w:w="28" w:type="dxa"/>
              <w:right w:w="57" w:type="dxa"/>
            </w:tcMar>
          </w:tcPr>
          <w:p w:rsidR="007B0BF3" w:rsidRPr="007B0BF3" w:rsidRDefault="007B0BF3" w:rsidP="007B0BF3">
            <w:pPr>
              <w:spacing w:line="160" w:lineRule="exact"/>
              <w:ind w:left="-18" w:right="-18"/>
              <w:rPr>
                <w:rFonts w:eastAsia="Times New Roman" w:cstheme="minorHAnsi"/>
                <w:b/>
                <w:iCs/>
                <w:sz w:val="14"/>
                <w:szCs w:val="14"/>
                <w:lang w:eastAsia="es-ES"/>
              </w:rPr>
            </w:pPr>
            <w:r w:rsidRPr="007B0BF3">
              <w:rPr>
                <w:rFonts w:eastAsia="Times New Roman" w:cstheme="minorHAnsi"/>
                <w:b/>
                <w:iCs/>
                <w:sz w:val="14"/>
                <w:szCs w:val="14"/>
                <w:lang w:eastAsia="es-ES"/>
              </w:rPr>
              <w:t>AGENCIA TRIBUTARIA</w:t>
            </w:r>
          </w:p>
        </w:tc>
        <w:tc>
          <w:tcPr>
            <w:tcW w:w="4705" w:type="dxa"/>
            <w:tcBorders>
              <w:top w:val="single" w:sz="4" w:space="0" w:color="auto"/>
              <w:bottom w:val="single" w:sz="4" w:space="0" w:color="auto"/>
            </w:tcBorders>
            <w:tcMar>
              <w:top w:w="28" w:type="dxa"/>
              <w:bottom w:w="28" w:type="dxa"/>
            </w:tcMar>
          </w:tcPr>
          <w:p w:rsidR="007B0BF3" w:rsidRPr="00B131F3" w:rsidRDefault="007B0BF3" w:rsidP="007B0BF3">
            <w:pPr>
              <w:spacing w:line="160" w:lineRule="exact"/>
              <w:ind w:right="-18"/>
              <w:rPr>
                <w:rFonts w:eastAsia="Times New Roman" w:cstheme="minorHAnsi"/>
                <w:sz w:val="14"/>
                <w:szCs w:val="14"/>
                <w:lang w:val="es-ES" w:eastAsia="es-ES"/>
              </w:rPr>
            </w:pPr>
            <w:r w:rsidRPr="00B131F3">
              <w:rPr>
                <w:rFonts w:eastAsia="Times New Roman" w:cstheme="minorHAnsi"/>
                <w:i/>
                <w:sz w:val="14"/>
                <w:szCs w:val="14"/>
                <w:lang w:val="es-ES" w:eastAsia="es-ES"/>
              </w:rPr>
              <w:t xml:space="preserve">Disponibilidad de alcohol de la AEAT [Consumo de alcohol estimado]: </w:t>
            </w:r>
            <w:r w:rsidRPr="00B131F3">
              <w:rPr>
                <w:rFonts w:eastAsia="Times New Roman" w:cstheme="minorHAnsi"/>
                <w:sz w:val="14"/>
                <w:szCs w:val="14"/>
                <w:lang w:val="es-ES" w:eastAsia="es-ES"/>
              </w:rPr>
              <w:t>Volumen anual en millones de litros de bebidas con un contenido alcohólico &gt;1.2% en volumen –ABV- liberadas para consumo humano directo dentro de España. Categorías: cerveza, vino, licores, aperitivos o productos intermedios. No se incluye la sidra. El volumen de las bebidas sujetas a impuesto especial (cerveza, licores, licores, aperitivos o productos intermedios) se calcula dividiendo los ingresos fiscales de cada bebida por la tasa impositiva promedio ponderada aplicable. El volumen de vino se toma directamente de Panel de Consumo Alimentario. Se incluyen las pérdidas de alcohol después de la liberación de las bebidas (transporte, almacenamiento, distribución, consumo).</w:t>
            </w:r>
          </w:p>
        </w:tc>
        <w:tc>
          <w:tcPr>
            <w:tcW w:w="3571" w:type="dxa"/>
            <w:tcBorders>
              <w:top w:val="single" w:sz="4" w:space="0" w:color="auto"/>
              <w:bottom w:val="single" w:sz="4" w:space="0" w:color="auto"/>
            </w:tcBorders>
            <w:noWrap/>
            <w:tcMar>
              <w:top w:w="28" w:type="dxa"/>
              <w:bottom w:w="28" w:type="dxa"/>
            </w:tcMar>
          </w:tcPr>
          <w:p w:rsidR="007B0BF3" w:rsidRPr="007B0BF3" w:rsidRDefault="007B0BF3" w:rsidP="007B0BF3">
            <w:pPr>
              <w:spacing w:line="160" w:lineRule="exact"/>
              <w:ind w:right="-18"/>
              <w:rPr>
                <w:rFonts w:eastAsia="Times New Roman" w:cstheme="minorHAnsi"/>
                <w:sz w:val="14"/>
                <w:szCs w:val="14"/>
                <w:lang w:eastAsia="es-ES"/>
              </w:rPr>
            </w:pPr>
            <w:r w:rsidRPr="00B131F3">
              <w:rPr>
                <w:rFonts w:cstheme="minorHAnsi"/>
                <w:sz w:val="14"/>
                <w:szCs w:val="14"/>
                <w:lang w:val="es-ES"/>
              </w:rPr>
              <w:t xml:space="preserve">El impuesto se aplica en las primeras etapas del proceso de comercialización (producción, importación) y se paga cuando la bebida se libera de las fábricas o depósitos fiscales o se genera la deuda aduanera. Por lo tanto, la disponibilidad de alcohol de la AEAT representa las ventas al por mayor. </w:t>
            </w:r>
            <w:r w:rsidRPr="007B0BF3">
              <w:rPr>
                <w:rFonts w:cstheme="minorHAnsi"/>
                <w:sz w:val="14"/>
                <w:szCs w:val="14"/>
              </w:rPr>
              <w:t xml:space="preserve">Ref.: </w:t>
            </w:r>
            <w:hyperlink r:id="rId6" w:history="1">
              <w:r w:rsidRPr="007B0BF3">
                <w:rPr>
                  <w:rFonts w:cstheme="minorHAnsi"/>
                  <w:color w:val="0563C1" w:themeColor="hyperlink"/>
                  <w:sz w:val="14"/>
                  <w:szCs w:val="14"/>
                  <w:u w:val="single"/>
                </w:rPr>
                <w:t>http://www.agenciatributaria.es/AEAT.internet/Inicio/Aduanas_e_Impuestos_Especiales/Impuestos_Especiales/Impuestos_Especiales.shtml</w:t>
              </w:r>
            </w:hyperlink>
            <w:r w:rsidRPr="007B0BF3">
              <w:rPr>
                <w:rFonts w:cstheme="minorHAnsi"/>
                <w:sz w:val="14"/>
                <w:szCs w:val="14"/>
              </w:rPr>
              <w:t>.</w:t>
            </w:r>
          </w:p>
        </w:tc>
      </w:tr>
      <w:tr w:rsidR="007B0BF3" w:rsidRPr="00B131F3" w:rsidTr="00B46127">
        <w:trPr>
          <w:trHeight w:val="227"/>
        </w:trPr>
        <w:tc>
          <w:tcPr>
            <w:tcW w:w="1332" w:type="dxa"/>
            <w:tcBorders>
              <w:top w:val="single" w:sz="4" w:space="0" w:color="auto"/>
              <w:bottom w:val="single" w:sz="4" w:space="0" w:color="auto"/>
            </w:tcBorders>
            <w:tcMar>
              <w:top w:w="28" w:type="dxa"/>
              <w:left w:w="57" w:type="dxa"/>
              <w:bottom w:w="28" w:type="dxa"/>
              <w:right w:w="57" w:type="dxa"/>
            </w:tcMar>
          </w:tcPr>
          <w:p w:rsidR="007B0BF3" w:rsidRPr="007B0BF3" w:rsidRDefault="007B0BF3" w:rsidP="007B0BF3">
            <w:pPr>
              <w:spacing w:line="160" w:lineRule="exact"/>
              <w:ind w:left="-18" w:right="-18"/>
              <w:rPr>
                <w:rFonts w:eastAsia="Times New Roman" w:cstheme="minorHAnsi"/>
                <w:b/>
                <w:iCs/>
                <w:sz w:val="14"/>
                <w:szCs w:val="14"/>
                <w:lang w:eastAsia="es-ES"/>
              </w:rPr>
            </w:pPr>
            <w:r w:rsidRPr="007B0BF3">
              <w:rPr>
                <w:rFonts w:eastAsia="Times New Roman" w:cstheme="minorHAnsi"/>
                <w:b/>
                <w:iCs/>
                <w:sz w:val="14"/>
                <w:szCs w:val="14"/>
                <w:lang w:eastAsia="es-ES"/>
              </w:rPr>
              <w:t>EUROSTAT</w:t>
            </w:r>
          </w:p>
        </w:tc>
        <w:tc>
          <w:tcPr>
            <w:tcW w:w="4705" w:type="dxa"/>
            <w:tcBorders>
              <w:top w:val="single" w:sz="4" w:space="0" w:color="auto"/>
              <w:bottom w:val="single" w:sz="4" w:space="0" w:color="auto"/>
            </w:tcBorders>
            <w:tcMar>
              <w:top w:w="28" w:type="dxa"/>
              <w:bottom w:w="28" w:type="dxa"/>
            </w:tcMar>
          </w:tcPr>
          <w:p w:rsidR="007B0BF3" w:rsidRPr="00B131F3" w:rsidRDefault="007B0BF3" w:rsidP="007B0BF3">
            <w:pPr>
              <w:spacing w:line="160" w:lineRule="exact"/>
              <w:ind w:right="-18"/>
              <w:rPr>
                <w:rFonts w:eastAsia="Times New Roman" w:cstheme="minorHAnsi"/>
                <w:sz w:val="14"/>
                <w:szCs w:val="14"/>
                <w:lang w:val="es-ES" w:eastAsia="es-ES"/>
              </w:rPr>
            </w:pPr>
            <w:r w:rsidRPr="00B131F3">
              <w:rPr>
                <w:rFonts w:eastAsia="Times New Roman" w:cstheme="minorHAnsi"/>
                <w:i/>
                <w:sz w:val="14"/>
                <w:szCs w:val="14"/>
                <w:lang w:val="es-ES" w:eastAsia="es-ES"/>
              </w:rPr>
              <w:t xml:space="preserve">Disponibilidad de vino de </w:t>
            </w:r>
            <w:proofErr w:type="spellStart"/>
            <w:r w:rsidRPr="00B131F3">
              <w:rPr>
                <w:rFonts w:eastAsia="Times New Roman" w:cstheme="minorHAnsi"/>
                <w:i/>
                <w:sz w:val="14"/>
                <w:szCs w:val="14"/>
                <w:lang w:val="es-ES" w:eastAsia="es-ES"/>
              </w:rPr>
              <w:t>Eurostat</w:t>
            </w:r>
            <w:proofErr w:type="spellEnd"/>
            <w:r w:rsidRPr="00B131F3">
              <w:rPr>
                <w:rFonts w:eastAsia="Times New Roman" w:cstheme="minorHAnsi"/>
                <w:i/>
                <w:sz w:val="14"/>
                <w:szCs w:val="14"/>
                <w:lang w:val="es-ES" w:eastAsia="es-ES"/>
              </w:rPr>
              <w:t xml:space="preserve"> [Consumo humano bruto de vino]</w:t>
            </w:r>
            <w:r w:rsidRPr="00B131F3">
              <w:rPr>
                <w:rFonts w:eastAsia="Times New Roman" w:cstheme="minorHAnsi"/>
                <w:sz w:val="14"/>
                <w:szCs w:val="14"/>
                <w:lang w:val="es-ES" w:eastAsia="es-ES"/>
              </w:rPr>
              <w:t>: Suministros anuales de vino en hectolitros disponible para uso alimentario humano al por menor dentro de España, extraídos de las hojas de balance de suministro. Se calcula como el vino producido más el importado más la variación de las existencias (stock) menos el exportado, procesado, dedicado a uso no alimentario y perdido durante el almacenamiento y el transporte.</w:t>
            </w:r>
          </w:p>
        </w:tc>
        <w:tc>
          <w:tcPr>
            <w:tcW w:w="3571" w:type="dxa"/>
            <w:tcBorders>
              <w:top w:val="single" w:sz="4" w:space="0" w:color="auto"/>
              <w:bottom w:val="single" w:sz="4" w:space="0" w:color="auto"/>
            </w:tcBorders>
            <w:noWrap/>
            <w:tcMar>
              <w:top w:w="28" w:type="dxa"/>
              <w:bottom w:w="28" w:type="dxa"/>
            </w:tcMar>
          </w:tcPr>
          <w:p w:rsidR="007B0BF3" w:rsidRPr="007B0BF3" w:rsidRDefault="007B0BF3" w:rsidP="007B0BF3">
            <w:pPr>
              <w:spacing w:line="160" w:lineRule="exact"/>
              <w:ind w:right="-18"/>
              <w:rPr>
                <w:rFonts w:eastAsia="Times New Roman" w:cstheme="minorHAnsi"/>
                <w:sz w:val="14"/>
                <w:szCs w:val="14"/>
                <w:lang w:eastAsia="es-ES"/>
              </w:rPr>
            </w:pPr>
            <w:r w:rsidRPr="00B131F3">
              <w:rPr>
                <w:rFonts w:cstheme="minorHAnsi"/>
                <w:sz w:val="14"/>
                <w:szCs w:val="14"/>
                <w:lang w:val="es-ES"/>
              </w:rPr>
              <w:t>Se incluye el consumo propio de los productores. Las pérdidas y variaciones en las existencias se refieren a niveles institucionales y de consumo. .</w:t>
            </w:r>
            <w:r w:rsidRPr="007B0BF3">
              <w:rPr>
                <w:rFonts w:cstheme="minorHAnsi"/>
                <w:sz w:val="14"/>
                <w:szCs w:val="14"/>
              </w:rPr>
              <w:t xml:space="preserve">Ref.: </w:t>
            </w:r>
            <w:hyperlink r:id="rId7" w:history="1">
              <w:r w:rsidRPr="007B0BF3">
                <w:rPr>
                  <w:rFonts w:cstheme="minorHAnsi"/>
                  <w:color w:val="0563C1" w:themeColor="hyperlink"/>
                  <w:sz w:val="14"/>
                  <w:szCs w:val="14"/>
                  <w:u w:val="single"/>
                </w:rPr>
                <w:t>http://ec.europa.eu/eurostat/web/agriculture/data/database</w:t>
              </w:r>
            </w:hyperlink>
          </w:p>
        </w:tc>
      </w:tr>
      <w:tr w:rsidR="007B0BF3" w:rsidRPr="00B131F3" w:rsidTr="00B46127">
        <w:trPr>
          <w:trHeight w:val="227"/>
        </w:trPr>
        <w:tc>
          <w:tcPr>
            <w:tcW w:w="1332" w:type="dxa"/>
            <w:tcBorders>
              <w:top w:val="single" w:sz="4" w:space="0" w:color="auto"/>
              <w:bottom w:val="single" w:sz="4" w:space="0" w:color="auto"/>
            </w:tcBorders>
            <w:tcMar>
              <w:top w:w="28" w:type="dxa"/>
              <w:left w:w="57" w:type="dxa"/>
              <w:bottom w:w="28" w:type="dxa"/>
              <w:right w:w="57" w:type="dxa"/>
            </w:tcMar>
          </w:tcPr>
          <w:p w:rsidR="007B0BF3" w:rsidRPr="00B131F3" w:rsidRDefault="007B0BF3" w:rsidP="007B0BF3">
            <w:pPr>
              <w:spacing w:line="160" w:lineRule="exact"/>
              <w:ind w:left="-18" w:right="-18"/>
              <w:rPr>
                <w:rFonts w:eastAsia="Times New Roman" w:cstheme="minorHAnsi"/>
                <w:b/>
                <w:iCs/>
                <w:sz w:val="14"/>
                <w:szCs w:val="14"/>
                <w:lang w:val="es-ES" w:eastAsia="es-ES"/>
              </w:rPr>
            </w:pPr>
            <w:r w:rsidRPr="00B131F3">
              <w:rPr>
                <w:rFonts w:eastAsia="Times New Roman" w:cstheme="minorHAnsi"/>
                <w:b/>
                <w:iCs/>
                <w:sz w:val="14"/>
                <w:szCs w:val="14"/>
                <w:lang w:val="es-ES" w:eastAsia="es-ES"/>
              </w:rPr>
              <w:t>ORGANIZACIÓN MUNDIAL DE LA SALUD (OMS)</w:t>
            </w:r>
          </w:p>
        </w:tc>
        <w:tc>
          <w:tcPr>
            <w:tcW w:w="4705" w:type="dxa"/>
            <w:tcBorders>
              <w:top w:val="single" w:sz="4" w:space="0" w:color="auto"/>
              <w:bottom w:val="single" w:sz="4" w:space="0" w:color="auto"/>
            </w:tcBorders>
            <w:tcMar>
              <w:top w:w="28" w:type="dxa"/>
              <w:bottom w:w="28" w:type="dxa"/>
            </w:tcMar>
          </w:tcPr>
          <w:p w:rsidR="007B0BF3" w:rsidRPr="007B0BF3" w:rsidRDefault="007B0BF3" w:rsidP="007B0BF3">
            <w:pPr>
              <w:spacing w:line="160" w:lineRule="exact"/>
              <w:ind w:left="-18" w:right="-43"/>
              <w:contextualSpacing/>
              <w:rPr>
                <w:rFonts w:cstheme="minorHAnsi"/>
                <w:color w:val="000000"/>
                <w:sz w:val="14"/>
                <w:szCs w:val="14"/>
                <w:shd w:val="clear" w:color="auto" w:fill="FFFFFF"/>
              </w:rPr>
            </w:pPr>
            <w:r w:rsidRPr="00B131F3">
              <w:rPr>
                <w:rFonts w:eastAsia="Times New Roman" w:cstheme="minorHAnsi"/>
                <w:i/>
                <w:sz w:val="14"/>
                <w:szCs w:val="14"/>
                <w:lang w:val="es-ES" w:eastAsia="es-ES"/>
              </w:rPr>
              <w:t xml:space="preserve">Disponibilidad de alcohol de la OMS [Consumo de alcohol registrado per cápita </w:t>
            </w:r>
            <w:r w:rsidRPr="00B131F3">
              <w:rPr>
                <w:rFonts w:cstheme="minorHAnsi"/>
                <w:i/>
                <w:color w:val="000000"/>
                <w:sz w:val="14"/>
                <w:szCs w:val="14"/>
                <w:shd w:val="clear" w:color="auto" w:fill="FFFFFF"/>
                <w:lang w:val="es-ES"/>
              </w:rPr>
              <w:t>(≥15 años)]</w:t>
            </w:r>
            <w:r w:rsidRPr="00B131F3">
              <w:rPr>
                <w:rFonts w:cstheme="minorHAnsi"/>
                <w:color w:val="000000"/>
                <w:sz w:val="14"/>
                <w:szCs w:val="14"/>
                <w:shd w:val="clear" w:color="auto" w:fill="FFFFFF"/>
                <w:lang w:val="es-ES"/>
              </w:rPr>
              <w:t>: Volumen anual en litros de alcohol puro por persona ≥15 disponible para consumo humano directo de diferentes fuentes (</w:t>
            </w:r>
            <w:proofErr w:type="spellStart"/>
            <w:r w:rsidRPr="00B131F3">
              <w:rPr>
                <w:rFonts w:cstheme="minorHAnsi"/>
                <w:color w:val="000000"/>
                <w:sz w:val="14"/>
                <w:szCs w:val="14"/>
                <w:shd w:val="clear" w:color="auto" w:fill="FFFFFF"/>
                <w:lang w:val="es-ES"/>
              </w:rPr>
              <w:t>W</w:t>
            </w:r>
            <w:r w:rsidRPr="00B131F3">
              <w:rPr>
                <w:rFonts w:cstheme="minorHAnsi"/>
                <w:sz w:val="14"/>
                <w:szCs w:val="14"/>
                <w:lang w:val="es-ES"/>
              </w:rPr>
              <w:t>orld</w:t>
            </w:r>
            <w:proofErr w:type="spellEnd"/>
            <w:r w:rsidRPr="00B131F3">
              <w:rPr>
                <w:rFonts w:cstheme="minorHAnsi"/>
                <w:sz w:val="14"/>
                <w:szCs w:val="14"/>
                <w:lang w:val="es-ES"/>
              </w:rPr>
              <w:t xml:space="preserve"> </w:t>
            </w:r>
            <w:proofErr w:type="spellStart"/>
            <w:r w:rsidRPr="00B131F3">
              <w:rPr>
                <w:rFonts w:cstheme="minorHAnsi"/>
                <w:sz w:val="14"/>
                <w:szCs w:val="14"/>
                <w:lang w:val="es-ES"/>
              </w:rPr>
              <w:t>Drink</w:t>
            </w:r>
            <w:proofErr w:type="spellEnd"/>
            <w:r w:rsidRPr="00B131F3">
              <w:rPr>
                <w:rFonts w:cstheme="minorHAnsi"/>
                <w:sz w:val="14"/>
                <w:szCs w:val="14"/>
                <w:lang w:val="es-ES"/>
              </w:rPr>
              <w:t xml:space="preserve"> </w:t>
            </w:r>
            <w:proofErr w:type="spellStart"/>
            <w:r w:rsidRPr="00B131F3">
              <w:rPr>
                <w:rFonts w:cstheme="minorHAnsi"/>
                <w:sz w:val="14"/>
                <w:szCs w:val="14"/>
                <w:lang w:val="es-ES"/>
              </w:rPr>
              <w:t>Trends</w:t>
            </w:r>
            <w:proofErr w:type="spellEnd"/>
            <w:r w:rsidRPr="00B131F3">
              <w:rPr>
                <w:rFonts w:cstheme="minorHAnsi"/>
                <w:sz w:val="14"/>
                <w:szCs w:val="14"/>
                <w:lang w:val="es-ES"/>
              </w:rPr>
              <w:t xml:space="preserve"> para 2001, disponibilidad e impuestos para 2002-2017). </w:t>
            </w:r>
            <w:proofErr w:type="spellStart"/>
            <w:r w:rsidRPr="007B0BF3">
              <w:rPr>
                <w:rFonts w:cstheme="minorHAnsi"/>
                <w:sz w:val="14"/>
                <w:szCs w:val="14"/>
              </w:rPr>
              <w:t>Categorías</w:t>
            </w:r>
            <w:proofErr w:type="spellEnd"/>
            <w:r w:rsidRPr="007B0BF3">
              <w:rPr>
                <w:rFonts w:cstheme="minorHAnsi"/>
                <w:sz w:val="14"/>
                <w:szCs w:val="14"/>
              </w:rPr>
              <w:t>:</w:t>
            </w:r>
            <w:r w:rsidRPr="007B0BF3">
              <w:rPr>
                <w:rFonts w:eastAsia="Times New Roman" w:cstheme="minorHAnsi"/>
                <w:sz w:val="14"/>
                <w:szCs w:val="14"/>
                <w:lang w:eastAsia="es-ES"/>
              </w:rPr>
              <w:t xml:space="preserve"> alcohol,</w:t>
            </w:r>
            <w:r w:rsidRPr="007B0BF3">
              <w:rPr>
                <w:rFonts w:cstheme="minorHAnsi"/>
                <w:color w:val="000000"/>
                <w:sz w:val="14"/>
                <w:szCs w:val="14"/>
                <w:shd w:val="clear" w:color="auto" w:fill="FFFFFF"/>
              </w:rPr>
              <w:t xml:space="preserve"> </w:t>
            </w:r>
            <w:proofErr w:type="spellStart"/>
            <w:r w:rsidRPr="007B0BF3">
              <w:rPr>
                <w:rFonts w:cstheme="minorHAnsi"/>
                <w:color w:val="000000"/>
                <w:sz w:val="14"/>
                <w:szCs w:val="14"/>
                <w:shd w:val="clear" w:color="auto" w:fill="FFFFFF"/>
              </w:rPr>
              <w:t>cerveza</w:t>
            </w:r>
            <w:proofErr w:type="spellEnd"/>
            <w:r w:rsidRPr="007B0BF3">
              <w:rPr>
                <w:rFonts w:cstheme="minorHAnsi"/>
                <w:color w:val="000000"/>
                <w:sz w:val="14"/>
                <w:szCs w:val="14"/>
                <w:shd w:val="clear" w:color="auto" w:fill="FFFFFF"/>
              </w:rPr>
              <w:t xml:space="preserve">, vino, </w:t>
            </w:r>
            <w:proofErr w:type="spellStart"/>
            <w:r w:rsidRPr="007B0BF3">
              <w:rPr>
                <w:rFonts w:cstheme="minorHAnsi"/>
                <w:color w:val="000000"/>
                <w:sz w:val="14"/>
                <w:szCs w:val="14"/>
                <w:shd w:val="clear" w:color="auto" w:fill="FFFFFF"/>
              </w:rPr>
              <w:t>licores</w:t>
            </w:r>
            <w:proofErr w:type="spellEnd"/>
            <w:r w:rsidRPr="007B0BF3">
              <w:rPr>
                <w:rFonts w:cstheme="minorHAnsi"/>
                <w:color w:val="000000"/>
                <w:sz w:val="14"/>
                <w:szCs w:val="14"/>
                <w:shd w:val="clear" w:color="auto" w:fill="FFFFFF"/>
              </w:rPr>
              <w:t xml:space="preserve"> y </w:t>
            </w:r>
            <w:proofErr w:type="spellStart"/>
            <w:r w:rsidRPr="007B0BF3">
              <w:rPr>
                <w:rFonts w:cstheme="minorHAnsi"/>
                <w:color w:val="000000"/>
                <w:sz w:val="14"/>
                <w:szCs w:val="14"/>
                <w:shd w:val="clear" w:color="auto" w:fill="FFFFFF"/>
              </w:rPr>
              <w:t>otras</w:t>
            </w:r>
            <w:proofErr w:type="spellEnd"/>
            <w:r w:rsidRPr="007B0BF3">
              <w:rPr>
                <w:rFonts w:cstheme="minorHAnsi"/>
                <w:color w:val="000000"/>
                <w:sz w:val="14"/>
                <w:szCs w:val="14"/>
                <w:shd w:val="clear" w:color="auto" w:fill="FFFFFF"/>
              </w:rPr>
              <w:t xml:space="preserve"> </w:t>
            </w:r>
            <w:proofErr w:type="spellStart"/>
            <w:r w:rsidRPr="007B0BF3">
              <w:rPr>
                <w:rFonts w:cstheme="minorHAnsi"/>
                <w:color w:val="000000"/>
                <w:sz w:val="14"/>
                <w:szCs w:val="14"/>
                <w:shd w:val="clear" w:color="auto" w:fill="FFFFFF"/>
              </w:rPr>
              <w:t>bebidas</w:t>
            </w:r>
            <w:proofErr w:type="spellEnd"/>
          </w:p>
        </w:tc>
        <w:tc>
          <w:tcPr>
            <w:tcW w:w="3571" w:type="dxa"/>
            <w:tcBorders>
              <w:top w:val="single" w:sz="4" w:space="0" w:color="auto"/>
              <w:bottom w:val="single" w:sz="4" w:space="0" w:color="auto"/>
            </w:tcBorders>
            <w:noWrap/>
            <w:tcMar>
              <w:top w:w="28" w:type="dxa"/>
              <w:bottom w:w="28" w:type="dxa"/>
            </w:tcMar>
          </w:tcPr>
          <w:p w:rsidR="007B0BF3" w:rsidRPr="007B0BF3" w:rsidRDefault="007B0BF3" w:rsidP="007B0BF3">
            <w:pPr>
              <w:keepNext/>
              <w:keepLines/>
              <w:spacing w:line="160" w:lineRule="exact"/>
              <w:ind w:right="-18"/>
              <w:outlineLvl w:val="0"/>
              <w:rPr>
                <w:rFonts w:eastAsia="Times New Roman" w:cstheme="minorHAnsi"/>
                <w:b/>
                <w:bCs/>
                <w:color w:val="2E74B5" w:themeColor="accent1" w:themeShade="BF"/>
                <w:sz w:val="14"/>
                <w:szCs w:val="14"/>
                <w:lang w:eastAsia="es-ES"/>
              </w:rPr>
            </w:pPr>
            <w:r w:rsidRPr="007B0BF3">
              <w:rPr>
                <w:rFonts w:eastAsiaTheme="majorEastAsia" w:cstheme="minorHAnsi"/>
                <w:bCs/>
                <w:sz w:val="14"/>
                <w:szCs w:val="14"/>
              </w:rPr>
              <w:t xml:space="preserve">Ref.: </w:t>
            </w:r>
            <w:hyperlink r:id="rId8" w:history="1">
              <w:r w:rsidRPr="007B0BF3">
                <w:rPr>
                  <w:rFonts w:eastAsiaTheme="majorEastAsia" w:cstheme="minorHAnsi"/>
                  <w:bCs/>
                  <w:color w:val="0563C1" w:themeColor="hyperlink"/>
                  <w:sz w:val="14"/>
                  <w:szCs w:val="14"/>
                  <w:u w:val="single"/>
                </w:rPr>
                <w:t>http://apps.who.int/gho/data/node.main.GISAH?lang=en</w:t>
              </w:r>
            </w:hyperlink>
          </w:p>
        </w:tc>
      </w:tr>
      <w:tr w:rsidR="007B0BF3" w:rsidRPr="007B0BF3" w:rsidTr="00B46127">
        <w:trPr>
          <w:trHeight w:val="227"/>
        </w:trPr>
        <w:tc>
          <w:tcPr>
            <w:tcW w:w="1332" w:type="dxa"/>
            <w:tcBorders>
              <w:top w:val="single" w:sz="4" w:space="0" w:color="auto"/>
              <w:bottom w:val="single" w:sz="4" w:space="0" w:color="auto"/>
            </w:tcBorders>
            <w:tcMar>
              <w:top w:w="28" w:type="dxa"/>
              <w:left w:w="57" w:type="dxa"/>
              <w:bottom w:w="28" w:type="dxa"/>
              <w:right w:w="57" w:type="dxa"/>
            </w:tcMar>
          </w:tcPr>
          <w:p w:rsidR="007B0BF3" w:rsidRPr="00B131F3" w:rsidRDefault="007B0BF3" w:rsidP="007B0BF3">
            <w:pPr>
              <w:spacing w:line="160" w:lineRule="exact"/>
              <w:ind w:left="-18" w:right="-18"/>
              <w:rPr>
                <w:rFonts w:eastAsia="Times New Roman" w:cstheme="minorHAnsi"/>
                <w:b/>
                <w:iCs/>
                <w:sz w:val="14"/>
                <w:szCs w:val="14"/>
                <w:lang w:val="es-ES" w:eastAsia="es-ES"/>
              </w:rPr>
            </w:pPr>
            <w:r w:rsidRPr="00B131F3">
              <w:rPr>
                <w:rFonts w:eastAsia="Times New Roman" w:cstheme="minorHAnsi"/>
                <w:b/>
                <w:iCs/>
                <w:sz w:val="14"/>
                <w:szCs w:val="14"/>
                <w:lang w:val="es-ES" w:eastAsia="es-ES"/>
              </w:rPr>
              <w:t>ORGANIZACIÓN DE NACIONES UNIDAS PARA LA AGRICULTURA Y ALIMENTACIÓN (FAO)</w:t>
            </w:r>
          </w:p>
        </w:tc>
        <w:tc>
          <w:tcPr>
            <w:tcW w:w="4705" w:type="dxa"/>
            <w:tcBorders>
              <w:top w:val="single" w:sz="4" w:space="0" w:color="auto"/>
              <w:bottom w:val="single" w:sz="4" w:space="0" w:color="auto"/>
            </w:tcBorders>
            <w:tcMar>
              <w:top w:w="28" w:type="dxa"/>
              <w:bottom w:w="28" w:type="dxa"/>
            </w:tcMar>
          </w:tcPr>
          <w:p w:rsidR="007B0BF3" w:rsidRPr="00B131F3" w:rsidRDefault="007B0BF3" w:rsidP="007B0BF3">
            <w:pPr>
              <w:spacing w:line="160" w:lineRule="exact"/>
              <w:ind w:right="-18"/>
              <w:rPr>
                <w:rFonts w:eastAsia="Times New Roman" w:cstheme="minorHAnsi"/>
                <w:sz w:val="14"/>
                <w:szCs w:val="14"/>
                <w:lang w:val="es-ES" w:eastAsia="es-ES"/>
              </w:rPr>
            </w:pPr>
            <w:r w:rsidRPr="00B131F3">
              <w:rPr>
                <w:rFonts w:eastAsia="Times New Roman" w:cstheme="minorHAnsi"/>
                <w:i/>
                <w:sz w:val="14"/>
                <w:szCs w:val="14"/>
                <w:lang w:val="es-ES" w:eastAsia="es-ES"/>
              </w:rPr>
              <w:t xml:space="preserve">Disponibilidad de alcohol FAO </w:t>
            </w:r>
            <w:r w:rsidRPr="00B131F3">
              <w:rPr>
                <w:rFonts w:cstheme="minorHAnsi"/>
                <w:i/>
                <w:sz w:val="14"/>
                <w:szCs w:val="14"/>
                <w:lang w:val="es-ES"/>
              </w:rPr>
              <w:t>[Cantidad de bebidas alcohólicas suministradas para uso alimentario]</w:t>
            </w:r>
            <w:r w:rsidRPr="00B131F3">
              <w:rPr>
                <w:rFonts w:cstheme="minorHAnsi"/>
                <w:sz w:val="14"/>
                <w:szCs w:val="14"/>
                <w:lang w:val="es-ES"/>
              </w:rPr>
              <w:t>: suministros anuales en toneladas de bebidas alcohólicas disponibles para uso humano a nivel minorista en España, extraídas de las hojas de balance de suministros. Categorías: cerveza, vino, otras bebidas fermentadas y otras bebidas alcohólicas. Se calcula como las bebidas producidas más las importadas más la variación de las existencias menos las exportadas, procesadas, dedicadas a uso no alimentario, y pérdidas durante el almacenamiento y el transporte.</w:t>
            </w:r>
          </w:p>
        </w:tc>
        <w:tc>
          <w:tcPr>
            <w:tcW w:w="3571" w:type="dxa"/>
            <w:tcBorders>
              <w:top w:val="single" w:sz="4" w:space="0" w:color="auto"/>
              <w:bottom w:val="single" w:sz="4" w:space="0" w:color="auto"/>
            </w:tcBorders>
            <w:noWrap/>
            <w:tcMar>
              <w:top w:w="28" w:type="dxa"/>
              <w:bottom w:w="28" w:type="dxa"/>
            </w:tcMar>
          </w:tcPr>
          <w:p w:rsidR="007B0BF3" w:rsidRPr="00B131F3" w:rsidRDefault="007B0BF3" w:rsidP="007B0BF3">
            <w:pPr>
              <w:spacing w:line="160" w:lineRule="exact"/>
              <w:ind w:right="-18"/>
              <w:rPr>
                <w:rFonts w:eastAsia="Times New Roman" w:cstheme="minorHAnsi"/>
                <w:sz w:val="14"/>
                <w:szCs w:val="14"/>
                <w:lang w:val="es-ES" w:eastAsia="es-ES"/>
              </w:rPr>
            </w:pPr>
            <w:r w:rsidRPr="00B131F3">
              <w:rPr>
                <w:rFonts w:cstheme="minorHAnsi"/>
                <w:sz w:val="14"/>
                <w:szCs w:val="14"/>
                <w:lang w:val="es-ES"/>
              </w:rPr>
              <w:t xml:space="preserve">La categoría "vino" incluye vino y aperitivos, pero es imposible desagregar las dos bebidas. “Otras bebidas fermentadas” incluye la sidra. Las unidades de masa se convirtieron en volumen dividiéndolas por la densidad de la bebida: cerveza y sidra (1.01), vino (0.99) y licores (0.95). </w:t>
            </w:r>
            <w:r w:rsidRPr="00B131F3">
              <w:rPr>
                <w:rFonts w:eastAsia="Times New Roman" w:cstheme="minorHAnsi"/>
                <w:sz w:val="14"/>
                <w:szCs w:val="14"/>
                <w:lang w:val="es-ES" w:eastAsia="es-ES"/>
              </w:rPr>
              <w:t xml:space="preserve">Ref.: Suministros de bebidas alcohólicas: </w:t>
            </w:r>
            <w:hyperlink r:id="rId9" w:history="1">
              <w:r w:rsidRPr="00B131F3">
                <w:rPr>
                  <w:rFonts w:eastAsia="Times New Roman" w:cstheme="minorHAnsi"/>
                  <w:color w:val="0563C1" w:themeColor="hyperlink"/>
                  <w:sz w:val="14"/>
                  <w:szCs w:val="14"/>
                  <w:u w:val="single"/>
                  <w:lang w:val="es-ES" w:eastAsia="es-ES"/>
                </w:rPr>
                <w:t>http://faostat3.fao.org/download/FB/CC/E</w:t>
              </w:r>
            </w:hyperlink>
          </w:p>
          <w:p w:rsidR="007B0BF3" w:rsidRPr="00B131F3" w:rsidRDefault="007B0BF3" w:rsidP="007B0BF3">
            <w:pPr>
              <w:spacing w:line="160" w:lineRule="exact"/>
              <w:ind w:right="-18"/>
              <w:rPr>
                <w:rFonts w:eastAsia="Times New Roman" w:cstheme="minorHAnsi"/>
                <w:sz w:val="14"/>
                <w:szCs w:val="14"/>
                <w:lang w:val="es-ES" w:eastAsia="es-ES"/>
              </w:rPr>
            </w:pPr>
            <w:r w:rsidRPr="00B131F3">
              <w:rPr>
                <w:rFonts w:cstheme="minorHAnsi"/>
                <w:bCs/>
                <w:sz w:val="14"/>
                <w:szCs w:val="14"/>
                <w:lang w:val="es-ES"/>
              </w:rPr>
              <w:t xml:space="preserve">Ref.: Densidad de las bebidas: </w:t>
            </w:r>
            <w:hyperlink r:id="rId10" w:history="1">
              <w:r w:rsidRPr="00B131F3">
                <w:rPr>
                  <w:rFonts w:cstheme="minorHAnsi"/>
                  <w:bCs/>
                  <w:color w:val="0563C1" w:themeColor="hyperlink"/>
                  <w:sz w:val="14"/>
                  <w:szCs w:val="14"/>
                  <w:u w:val="single"/>
                  <w:lang w:val="es-ES"/>
                </w:rPr>
                <w:t>http://www.fao.org/infoods/infoods/tables-and-databases/faoinfoods-databases/en/</w:t>
              </w:r>
            </w:hyperlink>
          </w:p>
        </w:tc>
      </w:tr>
      <w:tr w:rsidR="007B0BF3" w:rsidRPr="00B131F3" w:rsidTr="00B46127">
        <w:trPr>
          <w:trHeight w:val="227"/>
        </w:trPr>
        <w:tc>
          <w:tcPr>
            <w:tcW w:w="1332" w:type="dxa"/>
            <w:tcBorders>
              <w:top w:val="single" w:sz="4" w:space="0" w:color="auto"/>
              <w:bottom w:val="single" w:sz="4" w:space="0" w:color="auto"/>
            </w:tcBorders>
            <w:tcMar>
              <w:top w:w="28" w:type="dxa"/>
              <w:left w:w="57" w:type="dxa"/>
              <w:bottom w:w="28" w:type="dxa"/>
              <w:right w:w="57" w:type="dxa"/>
            </w:tcMar>
          </w:tcPr>
          <w:p w:rsidR="007B0BF3" w:rsidRPr="00B131F3" w:rsidRDefault="007B0BF3" w:rsidP="007B0BF3">
            <w:pPr>
              <w:tabs>
                <w:tab w:val="left" w:pos="882"/>
              </w:tabs>
              <w:spacing w:line="160" w:lineRule="exact"/>
              <w:ind w:left="-18" w:right="-18"/>
              <w:rPr>
                <w:rFonts w:eastAsia="Times New Roman" w:cstheme="minorHAnsi"/>
                <w:b/>
                <w:iCs/>
                <w:sz w:val="14"/>
                <w:szCs w:val="14"/>
                <w:lang w:val="es-ES" w:eastAsia="es-ES"/>
              </w:rPr>
            </w:pPr>
            <w:r w:rsidRPr="00B131F3">
              <w:rPr>
                <w:rFonts w:eastAsia="Times New Roman" w:cstheme="minorHAnsi"/>
                <w:b/>
                <w:iCs/>
                <w:sz w:val="14"/>
                <w:szCs w:val="14"/>
                <w:lang w:val="es-ES" w:eastAsia="es-ES"/>
              </w:rPr>
              <w:t>PANEL DE CONSUMO ALIMENTARIO (PCA)</w:t>
            </w:r>
          </w:p>
          <w:p w:rsidR="007B0BF3" w:rsidRPr="00B131F3" w:rsidRDefault="007B0BF3" w:rsidP="007B0BF3">
            <w:pPr>
              <w:spacing w:line="160" w:lineRule="exact"/>
              <w:ind w:left="-18" w:right="-18"/>
              <w:rPr>
                <w:rFonts w:eastAsia="Times New Roman" w:cstheme="minorHAnsi"/>
                <w:b/>
                <w:sz w:val="14"/>
                <w:szCs w:val="14"/>
                <w:lang w:val="es-ES" w:eastAsia="es-ES"/>
              </w:rPr>
            </w:pPr>
          </w:p>
        </w:tc>
        <w:tc>
          <w:tcPr>
            <w:tcW w:w="4705" w:type="dxa"/>
            <w:tcBorders>
              <w:top w:val="single" w:sz="4" w:space="0" w:color="auto"/>
              <w:bottom w:val="single" w:sz="4" w:space="0" w:color="auto"/>
            </w:tcBorders>
            <w:tcMar>
              <w:top w:w="28" w:type="dxa"/>
              <w:bottom w:w="28" w:type="dxa"/>
            </w:tcMar>
          </w:tcPr>
          <w:p w:rsidR="007B0BF3" w:rsidRPr="00B131F3" w:rsidRDefault="007B0BF3" w:rsidP="007B0BF3">
            <w:pPr>
              <w:spacing w:line="160" w:lineRule="exact"/>
              <w:ind w:left="-18" w:right="-43"/>
              <w:contextualSpacing/>
              <w:rPr>
                <w:rFonts w:eastAsia="Times New Roman" w:cstheme="minorHAnsi"/>
                <w:sz w:val="14"/>
                <w:szCs w:val="14"/>
                <w:lang w:val="es-ES" w:eastAsia="es-ES"/>
              </w:rPr>
            </w:pPr>
            <w:r w:rsidRPr="00B131F3">
              <w:rPr>
                <w:rFonts w:eastAsia="Times New Roman" w:cstheme="minorHAnsi"/>
                <w:i/>
                <w:sz w:val="14"/>
                <w:szCs w:val="14"/>
                <w:lang w:val="es-ES" w:eastAsia="es-ES"/>
              </w:rPr>
              <w:t xml:space="preserve">Compras de alcohol </w:t>
            </w:r>
            <w:proofErr w:type="spellStart"/>
            <w:r w:rsidRPr="00B131F3">
              <w:rPr>
                <w:rFonts w:eastAsia="Times New Roman" w:cstheme="minorHAnsi"/>
                <w:i/>
                <w:sz w:val="14"/>
                <w:szCs w:val="14"/>
                <w:lang w:val="es-ES" w:eastAsia="es-ES"/>
              </w:rPr>
              <w:t>autoinformadas</w:t>
            </w:r>
            <w:proofErr w:type="spellEnd"/>
            <w:r w:rsidRPr="00B131F3">
              <w:rPr>
                <w:rFonts w:eastAsia="Times New Roman" w:cstheme="minorHAnsi"/>
                <w:i/>
                <w:sz w:val="14"/>
                <w:szCs w:val="14"/>
                <w:lang w:val="es-ES" w:eastAsia="es-ES"/>
              </w:rPr>
              <w:t xml:space="preserve"> [Demanda directa de bebidas alcohólicas]</w:t>
            </w:r>
            <w:r w:rsidRPr="00B131F3">
              <w:rPr>
                <w:rFonts w:eastAsia="Times New Roman" w:cstheme="minorHAnsi"/>
                <w:sz w:val="14"/>
                <w:szCs w:val="14"/>
                <w:lang w:val="es-ES" w:eastAsia="es-ES"/>
              </w:rPr>
              <w:t>: Volúmenes anuales en millones de litros de bebidas alcohólicas compradas por los hogares en cualquier punto de venta minorista para su consumo en otro lugar fuera de las instalaciones o por establecimientos de hostelería/restauración o instituciones con servicios de catering para su consumo dentro de las instalaciones. Categorías: vino, cerveza, sidra y otros. Las compras fuera y dentro de las instalaciones son auto-grabadas diariamente (escaneando códigos de barras con un dispositivo óptico) y mensualmente, respectivamente, por los panelistas. La cerveza sin alcohol y las mezclas alcohólicas a base de vino (vino mezclado con bebidas no alcohólicas como "sangría") se recogen por separado desde 2004 y 2008, respectivamente.</w:t>
            </w:r>
          </w:p>
        </w:tc>
        <w:tc>
          <w:tcPr>
            <w:tcW w:w="3571" w:type="dxa"/>
            <w:tcBorders>
              <w:top w:val="single" w:sz="4" w:space="0" w:color="auto"/>
              <w:bottom w:val="single" w:sz="4" w:space="0" w:color="auto"/>
            </w:tcBorders>
            <w:noWrap/>
            <w:tcMar>
              <w:top w:w="28" w:type="dxa"/>
              <w:bottom w:w="28" w:type="dxa"/>
            </w:tcMar>
          </w:tcPr>
          <w:p w:rsidR="007B0BF3" w:rsidRPr="00B131F3" w:rsidRDefault="007B0BF3" w:rsidP="007B0BF3">
            <w:pPr>
              <w:tabs>
                <w:tab w:val="left" w:pos="2509"/>
              </w:tabs>
              <w:spacing w:line="160" w:lineRule="exact"/>
              <w:ind w:right="-18"/>
              <w:rPr>
                <w:rFonts w:eastAsia="Times New Roman" w:cstheme="minorHAnsi"/>
                <w:sz w:val="14"/>
                <w:szCs w:val="14"/>
                <w:lang w:val="es-ES" w:eastAsia="es-ES"/>
              </w:rPr>
            </w:pPr>
            <w:r w:rsidRPr="00B131F3">
              <w:rPr>
                <w:rFonts w:eastAsia="Times New Roman" w:cstheme="minorHAnsi"/>
                <w:sz w:val="14"/>
                <w:szCs w:val="14"/>
                <w:lang w:val="es-ES" w:eastAsia="es-ES"/>
              </w:rPr>
              <w:t>Tamaño de la muestra anual: 6000-12000 hogares, 700-1500 establecimientos de hostelería/restauración, y 200-402 instituciones.</w:t>
            </w:r>
          </w:p>
          <w:p w:rsidR="007B0BF3" w:rsidRPr="00B131F3" w:rsidRDefault="007B0BF3" w:rsidP="007B0BF3">
            <w:pPr>
              <w:tabs>
                <w:tab w:val="left" w:pos="2509"/>
              </w:tabs>
              <w:spacing w:line="160" w:lineRule="exact"/>
              <w:ind w:right="-18"/>
              <w:rPr>
                <w:rFonts w:eastAsia="Times New Roman" w:cstheme="minorHAnsi"/>
                <w:sz w:val="14"/>
                <w:szCs w:val="14"/>
                <w:lang w:val="es-ES" w:eastAsia="es-ES"/>
              </w:rPr>
            </w:pPr>
            <w:r w:rsidRPr="00B131F3">
              <w:rPr>
                <w:rFonts w:eastAsia="Times New Roman" w:cstheme="minorHAnsi"/>
                <w:sz w:val="14"/>
                <w:szCs w:val="14"/>
                <w:lang w:val="es-ES" w:eastAsia="es-ES"/>
              </w:rPr>
              <w:t>Las compras para consumo dentro del establecimiento de 2011 fueron las notificadas por el PCA a la AEAT.</w:t>
            </w:r>
          </w:p>
          <w:p w:rsidR="007B0BF3" w:rsidRPr="007B0BF3" w:rsidRDefault="007B0BF3" w:rsidP="007B0BF3">
            <w:pPr>
              <w:tabs>
                <w:tab w:val="left" w:pos="2509"/>
              </w:tabs>
              <w:spacing w:line="160" w:lineRule="exact"/>
              <w:ind w:right="-18"/>
              <w:rPr>
                <w:rFonts w:cstheme="minorHAnsi"/>
                <w:sz w:val="14"/>
                <w:szCs w:val="14"/>
              </w:rPr>
            </w:pPr>
            <w:r w:rsidRPr="007B0BF3">
              <w:rPr>
                <w:rFonts w:eastAsia="Times New Roman" w:cstheme="minorHAnsi"/>
                <w:sz w:val="14"/>
                <w:szCs w:val="14"/>
                <w:lang w:eastAsia="es-ES"/>
              </w:rPr>
              <w:t xml:space="preserve">Ref.: </w:t>
            </w:r>
            <w:hyperlink r:id="rId11" w:history="1">
              <w:r w:rsidRPr="007B0BF3">
                <w:rPr>
                  <w:rFonts w:cstheme="minorHAnsi"/>
                  <w:color w:val="0563C1" w:themeColor="hyperlink"/>
                  <w:sz w:val="14"/>
                  <w:szCs w:val="14"/>
                  <w:u w:val="single"/>
                </w:rPr>
                <w:t>http://www.magrama.gob.es/es/estadistica/temas/estadisticas-alimentacion/consumo-alimentario/</w:t>
              </w:r>
            </w:hyperlink>
          </w:p>
          <w:p w:rsidR="007B0BF3" w:rsidRPr="007B0BF3" w:rsidRDefault="007B0BF3" w:rsidP="007B0BF3">
            <w:pPr>
              <w:tabs>
                <w:tab w:val="left" w:pos="2509"/>
              </w:tabs>
              <w:spacing w:line="160" w:lineRule="exact"/>
              <w:ind w:right="-18"/>
              <w:rPr>
                <w:rFonts w:eastAsia="Times New Roman" w:cstheme="minorHAnsi"/>
                <w:sz w:val="14"/>
                <w:szCs w:val="14"/>
                <w:lang w:eastAsia="es-ES"/>
              </w:rPr>
            </w:pPr>
          </w:p>
        </w:tc>
      </w:tr>
      <w:tr w:rsidR="007B0BF3" w:rsidRPr="007B0BF3" w:rsidTr="00B46127">
        <w:trPr>
          <w:trHeight w:val="227"/>
        </w:trPr>
        <w:tc>
          <w:tcPr>
            <w:tcW w:w="1332" w:type="dxa"/>
            <w:tcBorders>
              <w:top w:val="single" w:sz="4" w:space="0" w:color="auto"/>
              <w:bottom w:val="single" w:sz="4" w:space="0" w:color="auto"/>
            </w:tcBorders>
            <w:tcMar>
              <w:top w:w="28" w:type="dxa"/>
              <w:left w:w="57" w:type="dxa"/>
              <w:bottom w:w="28" w:type="dxa"/>
              <w:right w:w="57" w:type="dxa"/>
            </w:tcMar>
          </w:tcPr>
          <w:p w:rsidR="007B0BF3" w:rsidRPr="00B131F3" w:rsidRDefault="007B0BF3" w:rsidP="007B0BF3">
            <w:pPr>
              <w:tabs>
                <w:tab w:val="left" w:pos="882"/>
              </w:tabs>
              <w:spacing w:line="160" w:lineRule="exact"/>
              <w:ind w:left="-18" w:right="-18"/>
              <w:rPr>
                <w:rFonts w:eastAsia="Times New Roman" w:cstheme="minorHAnsi"/>
                <w:b/>
                <w:i/>
                <w:iCs/>
                <w:sz w:val="14"/>
                <w:szCs w:val="14"/>
                <w:lang w:val="es-ES" w:eastAsia="es-ES"/>
              </w:rPr>
            </w:pPr>
            <w:r w:rsidRPr="00B131F3">
              <w:rPr>
                <w:rFonts w:cstheme="minorHAnsi"/>
                <w:b/>
                <w:bCs/>
                <w:i/>
                <w:iCs/>
                <w:sz w:val="14"/>
                <w:szCs w:val="14"/>
                <w:shd w:val="clear" w:color="auto" w:fill="FFFFFF"/>
                <w:lang w:val="es-ES"/>
              </w:rPr>
              <w:t>INSTITUTO DE TURISMO DE ESPAÑA (TURESPAÑA), OMS, EUROSTAT, BANCO MUNDIAL, OTROS</w:t>
            </w:r>
          </w:p>
        </w:tc>
        <w:tc>
          <w:tcPr>
            <w:tcW w:w="4705" w:type="dxa"/>
            <w:tcBorders>
              <w:top w:val="single" w:sz="4" w:space="0" w:color="auto"/>
              <w:bottom w:val="single" w:sz="4" w:space="0" w:color="auto"/>
            </w:tcBorders>
            <w:tcMar>
              <w:top w:w="28" w:type="dxa"/>
              <w:bottom w:w="28" w:type="dxa"/>
            </w:tcMar>
          </w:tcPr>
          <w:p w:rsidR="007B0BF3" w:rsidRPr="00B131F3" w:rsidRDefault="007B0BF3" w:rsidP="007B0BF3">
            <w:pPr>
              <w:spacing w:line="160" w:lineRule="exact"/>
              <w:ind w:left="-18" w:right="-43"/>
              <w:contextualSpacing/>
              <w:rPr>
                <w:rFonts w:eastAsia="Times New Roman" w:cstheme="minorHAnsi"/>
                <w:sz w:val="14"/>
                <w:szCs w:val="14"/>
                <w:lang w:val="es-ES" w:eastAsia="es-ES"/>
              </w:rPr>
            </w:pPr>
            <w:r w:rsidRPr="00B131F3">
              <w:rPr>
                <w:rFonts w:eastAsia="Times New Roman" w:cstheme="minorHAnsi"/>
                <w:i/>
                <w:sz w:val="14"/>
                <w:szCs w:val="14"/>
                <w:lang w:val="es-ES" w:eastAsia="es-ES"/>
              </w:rPr>
              <w:t xml:space="preserve">Parámetros para estimar el consumo y las compras de los visitantes extranjeros en España y de los españoles en el extranjero: </w:t>
            </w:r>
            <w:r w:rsidRPr="00B131F3">
              <w:rPr>
                <w:rFonts w:eastAsia="Times New Roman" w:cstheme="minorHAnsi"/>
                <w:sz w:val="14"/>
                <w:szCs w:val="14"/>
                <w:lang w:val="es-ES" w:eastAsia="es-ES"/>
              </w:rPr>
              <w:t>llegadas y salidas de turistas y excursionistas (visitantes sin pernocta), estancia media de los turistas, consumo de alcohol per cápita, índices comparativos de precios de las bebidas alcohólicas por país y elasticidad-precio de la demanda de bebidas alcohólicas.</w:t>
            </w:r>
          </w:p>
        </w:tc>
        <w:tc>
          <w:tcPr>
            <w:tcW w:w="3571" w:type="dxa"/>
            <w:tcBorders>
              <w:top w:val="single" w:sz="4" w:space="0" w:color="auto"/>
              <w:bottom w:val="single" w:sz="4" w:space="0" w:color="auto"/>
            </w:tcBorders>
            <w:noWrap/>
            <w:tcMar>
              <w:top w:w="28" w:type="dxa"/>
              <w:bottom w:w="28" w:type="dxa"/>
            </w:tcMar>
          </w:tcPr>
          <w:p w:rsidR="007B0BF3" w:rsidRPr="007B0BF3" w:rsidRDefault="007B0BF3" w:rsidP="007B0BF3">
            <w:pPr>
              <w:tabs>
                <w:tab w:val="left" w:pos="2509"/>
              </w:tabs>
              <w:spacing w:line="160" w:lineRule="exact"/>
              <w:ind w:right="-18"/>
              <w:rPr>
                <w:rFonts w:eastAsia="Times New Roman" w:cstheme="minorHAnsi"/>
                <w:sz w:val="14"/>
                <w:szCs w:val="14"/>
                <w:lang w:eastAsia="es-ES"/>
              </w:rPr>
            </w:pPr>
            <w:r w:rsidRPr="007B0BF3">
              <w:rPr>
                <w:rFonts w:eastAsia="Times New Roman" w:cstheme="minorHAnsi"/>
                <w:sz w:val="14"/>
                <w:szCs w:val="14"/>
                <w:lang w:eastAsia="es-ES"/>
              </w:rPr>
              <w:t xml:space="preserve">International visitors: Ref.: </w:t>
            </w:r>
            <w:proofErr w:type="spellStart"/>
            <w:r w:rsidRPr="007B0BF3">
              <w:rPr>
                <w:rFonts w:eastAsia="Times New Roman" w:cstheme="minorHAnsi"/>
                <w:sz w:val="14"/>
                <w:szCs w:val="14"/>
                <w:lang w:eastAsia="es-ES"/>
              </w:rPr>
              <w:t>IET</w:t>
            </w:r>
            <w:r w:rsidRPr="007B0BF3">
              <w:rPr>
                <w:rFonts w:eastAsia="Times New Roman" w:cstheme="minorHAnsi"/>
                <w:sz w:val="14"/>
                <w:szCs w:val="14"/>
                <w:vertAlign w:val="superscript"/>
                <w:lang w:eastAsia="es-ES"/>
              </w:rPr>
              <w:t>c</w:t>
            </w:r>
            <w:proofErr w:type="spellEnd"/>
            <w:r w:rsidRPr="007B0BF3">
              <w:rPr>
                <w:rFonts w:eastAsia="Times New Roman" w:cstheme="minorHAnsi"/>
                <w:sz w:val="14"/>
                <w:szCs w:val="14"/>
                <w:lang w:eastAsia="es-ES"/>
              </w:rPr>
              <w:t xml:space="preserve">. </w:t>
            </w:r>
            <w:hyperlink r:id="rId12" w:history="1">
              <w:r w:rsidRPr="007B0BF3">
                <w:rPr>
                  <w:rFonts w:eastAsia="Times New Roman" w:cstheme="minorHAnsi"/>
                  <w:color w:val="0563C1" w:themeColor="hyperlink"/>
                  <w:sz w:val="14"/>
                  <w:szCs w:val="14"/>
                  <w:u w:val="single"/>
                  <w:lang w:eastAsia="es-ES"/>
                </w:rPr>
                <w:t>http://estadisticas.tourspain.es/es-ES/turismobase/Paginas/default.aspx</w:t>
              </w:r>
            </w:hyperlink>
          </w:p>
          <w:p w:rsidR="007B0BF3" w:rsidRPr="00B131F3" w:rsidRDefault="007B0BF3" w:rsidP="007B0BF3">
            <w:pPr>
              <w:tabs>
                <w:tab w:val="left" w:pos="2509"/>
              </w:tabs>
              <w:spacing w:line="160" w:lineRule="exact"/>
              <w:ind w:right="-18"/>
              <w:rPr>
                <w:rFonts w:eastAsia="Times New Roman" w:cstheme="minorHAnsi"/>
                <w:sz w:val="14"/>
                <w:szCs w:val="14"/>
                <w:lang w:val="es-ES" w:eastAsia="es-ES"/>
              </w:rPr>
            </w:pPr>
            <w:r w:rsidRPr="007B0BF3">
              <w:rPr>
                <w:rFonts w:eastAsia="Times New Roman" w:cstheme="minorHAnsi"/>
                <w:sz w:val="14"/>
                <w:szCs w:val="14"/>
                <w:lang w:eastAsia="es-ES"/>
              </w:rPr>
              <w:t>Alcohol per-capita consumption: Ref.: WHO-GISAH.</w:t>
            </w:r>
            <w:r w:rsidRPr="007B0BF3">
              <w:rPr>
                <w:rFonts w:eastAsia="Times New Roman" w:cstheme="minorHAnsi"/>
                <w:kern w:val="36"/>
                <w:sz w:val="14"/>
                <w:szCs w:val="14"/>
                <w:lang w:eastAsia="es-ES"/>
              </w:rPr>
              <w:t xml:space="preserve"> </w:t>
            </w:r>
            <w:hyperlink r:id="rId13" w:history="1">
              <w:r w:rsidRPr="00B131F3">
                <w:rPr>
                  <w:rFonts w:cstheme="minorHAnsi"/>
                  <w:color w:val="0563C1" w:themeColor="hyperlink"/>
                  <w:sz w:val="14"/>
                  <w:szCs w:val="14"/>
                  <w:u w:val="single"/>
                  <w:lang w:val="es-ES"/>
                </w:rPr>
                <w:t>http://apps.who.int/gho/data/node.main.GISAH?lang=en</w:t>
              </w:r>
            </w:hyperlink>
          </w:p>
          <w:p w:rsidR="007B0BF3" w:rsidRPr="00B131F3" w:rsidRDefault="007B0BF3" w:rsidP="007B0BF3">
            <w:pPr>
              <w:tabs>
                <w:tab w:val="left" w:pos="2509"/>
              </w:tabs>
              <w:spacing w:line="160" w:lineRule="exact"/>
              <w:ind w:right="-18"/>
              <w:rPr>
                <w:rFonts w:eastAsia="Times New Roman" w:cstheme="minorHAnsi"/>
                <w:sz w:val="14"/>
                <w:szCs w:val="14"/>
                <w:lang w:val="es-ES" w:eastAsia="es-ES"/>
              </w:rPr>
            </w:pPr>
            <w:r w:rsidRPr="00B131F3">
              <w:rPr>
                <w:rFonts w:eastAsia="Times New Roman" w:cstheme="minorHAnsi"/>
                <w:sz w:val="14"/>
                <w:szCs w:val="14"/>
                <w:lang w:val="es-ES" w:eastAsia="es-ES"/>
              </w:rPr>
              <w:t xml:space="preserve">Precios de las bebidas alcohólicas (Países de la Unión Europea): Ref.: </w:t>
            </w:r>
            <w:proofErr w:type="spellStart"/>
            <w:r w:rsidRPr="00B131F3">
              <w:rPr>
                <w:rFonts w:eastAsia="Times New Roman" w:cstheme="minorHAnsi"/>
                <w:sz w:val="14"/>
                <w:szCs w:val="14"/>
                <w:lang w:val="es-ES" w:eastAsia="es-ES"/>
              </w:rPr>
              <w:t>Eurostat</w:t>
            </w:r>
            <w:proofErr w:type="spellEnd"/>
            <w:r w:rsidRPr="00B131F3">
              <w:rPr>
                <w:rFonts w:eastAsia="Times New Roman" w:cstheme="minorHAnsi"/>
                <w:sz w:val="14"/>
                <w:szCs w:val="14"/>
                <w:lang w:val="es-ES" w:eastAsia="es-ES"/>
              </w:rPr>
              <w:t xml:space="preserve">: </w:t>
            </w:r>
            <w:hyperlink r:id="rId14" w:history="1">
              <w:r w:rsidRPr="00B131F3">
                <w:rPr>
                  <w:rFonts w:eastAsia="Times New Roman" w:cstheme="minorHAnsi"/>
                  <w:color w:val="0563C1" w:themeColor="hyperlink"/>
                  <w:sz w:val="14"/>
                  <w:szCs w:val="14"/>
                  <w:u w:val="single"/>
                  <w:lang w:val="es-ES" w:eastAsia="es-ES"/>
                </w:rPr>
                <w:t>http://ec.europa.eu/eurostat/web/purchasing-power-parities/data/database</w:t>
              </w:r>
            </w:hyperlink>
          </w:p>
          <w:p w:rsidR="007B0BF3" w:rsidRPr="00B131F3" w:rsidRDefault="007B0BF3" w:rsidP="007B0BF3">
            <w:pPr>
              <w:tabs>
                <w:tab w:val="left" w:pos="2509"/>
              </w:tabs>
              <w:spacing w:line="160" w:lineRule="exact"/>
              <w:ind w:right="-18"/>
              <w:rPr>
                <w:rFonts w:eastAsia="Times New Roman" w:cstheme="minorHAnsi"/>
                <w:color w:val="0563C1" w:themeColor="hyperlink"/>
                <w:sz w:val="14"/>
                <w:szCs w:val="14"/>
                <w:u w:val="single"/>
                <w:lang w:val="es-ES" w:eastAsia="es-ES"/>
              </w:rPr>
            </w:pPr>
            <w:r w:rsidRPr="00B131F3">
              <w:rPr>
                <w:rFonts w:eastAsia="Times New Roman" w:cstheme="minorHAnsi"/>
                <w:sz w:val="14"/>
                <w:szCs w:val="14"/>
                <w:lang w:val="es-ES" w:eastAsia="es-ES"/>
              </w:rPr>
              <w:t xml:space="preserve">Precios de las bebidas alcohólicas (Países fuera de la Unión </w:t>
            </w:r>
            <w:proofErr w:type="spellStart"/>
            <w:r w:rsidRPr="00B131F3">
              <w:rPr>
                <w:rFonts w:eastAsia="Times New Roman" w:cstheme="minorHAnsi"/>
                <w:sz w:val="14"/>
                <w:szCs w:val="14"/>
                <w:lang w:val="es-ES" w:eastAsia="es-ES"/>
              </w:rPr>
              <w:t>Euorpea</w:t>
            </w:r>
            <w:proofErr w:type="spellEnd"/>
            <w:r w:rsidRPr="00B131F3">
              <w:rPr>
                <w:rFonts w:eastAsia="Times New Roman" w:cstheme="minorHAnsi"/>
                <w:sz w:val="14"/>
                <w:szCs w:val="14"/>
                <w:lang w:val="es-ES" w:eastAsia="es-ES"/>
              </w:rPr>
              <w:t xml:space="preserve">). Ref.: Banco Mundial: </w:t>
            </w:r>
            <w:hyperlink r:id="rId15" w:history="1">
              <w:r w:rsidRPr="00B131F3">
                <w:rPr>
                  <w:rFonts w:eastAsia="Times New Roman" w:cstheme="minorHAnsi"/>
                  <w:color w:val="0563C1" w:themeColor="hyperlink"/>
                  <w:sz w:val="14"/>
                  <w:szCs w:val="14"/>
                  <w:u w:val="single"/>
                  <w:lang w:val="es-ES" w:eastAsia="es-ES"/>
                </w:rPr>
                <w:t>http://icp.worldbank.org/icp/SelectElements.aspx?r=-1&amp;ds=0&amp;y=1&amp;ws=3</w:t>
              </w:r>
            </w:hyperlink>
          </w:p>
          <w:p w:rsidR="007B0BF3" w:rsidRPr="00B131F3" w:rsidRDefault="007B0BF3" w:rsidP="007B0BF3">
            <w:pPr>
              <w:tabs>
                <w:tab w:val="left" w:pos="2509"/>
              </w:tabs>
              <w:spacing w:line="160" w:lineRule="exact"/>
              <w:ind w:right="-18"/>
              <w:rPr>
                <w:rFonts w:cstheme="minorHAnsi"/>
                <w:noProof/>
                <w:sz w:val="14"/>
                <w:szCs w:val="14"/>
                <w:lang w:val="es-ES"/>
              </w:rPr>
            </w:pPr>
            <w:r w:rsidRPr="00B131F3">
              <w:rPr>
                <w:rFonts w:eastAsia="Times New Roman" w:cstheme="minorHAnsi"/>
                <w:sz w:val="14"/>
                <w:szCs w:val="14"/>
                <w:lang w:val="es-ES" w:eastAsia="es-ES"/>
              </w:rPr>
              <w:t xml:space="preserve">Elasticidad-precio de la demanda de bebidas alcohólicas: Ref.: RAND </w:t>
            </w:r>
            <w:proofErr w:type="spellStart"/>
            <w:r w:rsidRPr="00B131F3">
              <w:rPr>
                <w:rFonts w:eastAsia="Times New Roman" w:cstheme="minorHAnsi"/>
                <w:sz w:val="14"/>
                <w:szCs w:val="14"/>
                <w:lang w:val="es-ES" w:eastAsia="es-ES"/>
              </w:rPr>
              <w:t>Corporation</w:t>
            </w:r>
            <w:proofErr w:type="spellEnd"/>
            <w:r w:rsidRPr="00B131F3">
              <w:rPr>
                <w:rFonts w:eastAsia="Times New Roman" w:cstheme="minorHAnsi"/>
                <w:sz w:val="14"/>
                <w:szCs w:val="14"/>
                <w:lang w:val="es-ES" w:eastAsia="es-ES"/>
              </w:rPr>
              <w:t>:</w:t>
            </w:r>
            <w:r w:rsidRPr="00B131F3">
              <w:rPr>
                <w:rFonts w:cstheme="minorHAnsi"/>
                <w:noProof/>
                <w:sz w:val="14"/>
                <w:szCs w:val="14"/>
                <w:lang w:val="es-ES"/>
              </w:rPr>
              <w:t xml:space="preserve"> </w:t>
            </w:r>
            <w:hyperlink r:id="rId16" w:history="1">
              <w:r w:rsidRPr="00B131F3">
                <w:rPr>
                  <w:rFonts w:cstheme="minorHAnsi"/>
                  <w:noProof/>
                  <w:color w:val="2E74B5" w:themeColor="accent1" w:themeShade="BF"/>
                  <w:sz w:val="14"/>
                  <w:szCs w:val="14"/>
                  <w:u w:val="single"/>
                  <w:lang w:val="es-ES"/>
                </w:rPr>
                <w:t>http://www.rand.org/content/dam/rand/pubs/technical_reports/2009/RAND_TR689.pdf</w:t>
              </w:r>
            </w:hyperlink>
            <w:r w:rsidRPr="00B131F3">
              <w:rPr>
                <w:rFonts w:cstheme="minorHAnsi"/>
                <w:noProof/>
                <w:color w:val="2E74B5" w:themeColor="accent1" w:themeShade="BF"/>
                <w:sz w:val="14"/>
                <w:szCs w:val="14"/>
                <w:lang w:val="es-ES"/>
              </w:rPr>
              <w:t>.</w:t>
            </w:r>
          </w:p>
        </w:tc>
      </w:tr>
      <w:tr w:rsidR="007B0BF3" w:rsidRPr="00B131F3" w:rsidTr="00B46127">
        <w:trPr>
          <w:trHeight w:val="227"/>
        </w:trPr>
        <w:tc>
          <w:tcPr>
            <w:tcW w:w="1332" w:type="dxa"/>
            <w:tcBorders>
              <w:top w:val="single" w:sz="4" w:space="0" w:color="auto"/>
            </w:tcBorders>
            <w:tcMar>
              <w:top w:w="28" w:type="dxa"/>
              <w:left w:w="57" w:type="dxa"/>
              <w:bottom w:w="28" w:type="dxa"/>
              <w:right w:w="57" w:type="dxa"/>
            </w:tcMar>
          </w:tcPr>
          <w:p w:rsidR="007B0BF3" w:rsidRPr="00B131F3" w:rsidRDefault="007B0BF3" w:rsidP="007B0BF3">
            <w:pPr>
              <w:tabs>
                <w:tab w:val="left" w:pos="882"/>
              </w:tabs>
              <w:spacing w:line="160" w:lineRule="exact"/>
              <w:ind w:left="-18" w:right="-18"/>
              <w:rPr>
                <w:rFonts w:cstheme="minorHAnsi"/>
                <w:b/>
                <w:bCs/>
                <w:sz w:val="14"/>
                <w:szCs w:val="14"/>
                <w:shd w:val="clear" w:color="auto" w:fill="FFFFFF"/>
                <w:lang w:val="es-ES"/>
              </w:rPr>
            </w:pPr>
            <w:r w:rsidRPr="00B131F3">
              <w:rPr>
                <w:rFonts w:cstheme="minorHAnsi"/>
                <w:b/>
                <w:bCs/>
                <w:i/>
                <w:iCs/>
                <w:sz w:val="14"/>
                <w:szCs w:val="14"/>
                <w:shd w:val="clear" w:color="auto" w:fill="FFFFFF"/>
                <w:lang w:val="es-ES"/>
              </w:rPr>
              <w:t>INSTITUTO NACIONAL DE ESTADÍSTICA (INE)</w:t>
            </w:r>
          </w:p>
        </w:tc>
        <w:tc>
          <w:tcPr>
            <w:tcW w:w="4705" w:type="dxa"/>
            <w:tcBorders>
              <w:top w:val="single" w:sz="4" w:space="0" w:color="auto"/>
            </w:tcBorders>
            <w:tcMar>
              <w:top w:w="28" w:type="dxa"/>
              <w:bottom w:w="28" w:type="dxa"/>
            </w:tcMar>
          </w:tcPr>
          <w:p w:rsidR="007B0BF3" w:rsidRPr="00B131F3" w:rsidRDefault="007B0BF3" w:rsidP="007B0BF3">
            <w:pPr>
              <w:autoSpaceDE w:val="0"/>
              <w:autoSpaceDN w:val="0"/>
              <w:adjustRightInd w:val="0"/>
              <w:spacing w:line="160" w:lineRule="exact"/>
              <w:rPr>
                <w:rFonts w:cstheme="minorHAnsi"/>
                <w:i/>
                <w:sz w:val="14"/>
                <w:szCs w:val="14"/>
                <w:lang w:val="es-ES"/>
              </w:rPr>
            </w:pPr>
            <w:r w:rsidRPr="00B131F3">
              <w:rPr>
                <w:rFonts w:eastAsia="Times New Roman" w:cstheme="minorHAnsi"/>
                <w:i/>
                <w:sz w:val="14"/>
                <w:szCs w:val="14"/>
                <w:lang w:val="es-ES" w:eastAsia="es-ES"/>
              </w:rPr>
              <w:t>Cifras de población de  ≥15 años a 1 de julio de cada año</w:t>
            </w:r>
          </w:p>
        </w:tc>
        <w:tc>
          <w:tcPr>
            <w:tcW w:w="3571" w:type="dxa"/>
            <w:tcBorders>
              <w:top w:val="single" w:sz="4" w:space="0" w:color="auto"/>
            </w:tcBorders>
            <w:noWrap/>
            <w:tcMar>
              <w:top w:w="28" w:type="dxa"/>
              <w:bottom w:w="28" w:type="dxa"/>
            </w:tcMar>
          </w:tcPr>
          <w:p w:rsidR="007B0BF3" w:rsidRPr="007B0BF3" w:rsidRDefault="007B0BF3" w:rsidP="007B0BF3">
            <w:pPr>
              <w:tabs>
                <w:tab w:val="left" w:pos="2509"/>
              </w:tabs>
              <w:spacing w:line="160" w:lineRule="exact"/>
              <w:ind w:right="-18"/>
              <w:rPr>
                <w:rFonts w:eastAsia="Times New Roman" w:cstheme="minorHAnsi"/>
                <w:sz w:val="14"/>
                <w:szCs w:val="14"/>
                <w:highlight w:val="green"/>
                <w:lang w:eastAsia="es-ES"/>
              </w:rPr>
            </w:pPr>
            <w:r w:rsidRPr="007B0BF3">
              <w:rPr>
                <w:rFonts w:eastAsia="Times New Roman" w:cstheme="minorHAnsi"/>
                <w:sz w:val="14"/>
                <w:szCs w:val="14"/>
                <w:lang w:eastAsia="es-ES"/>
              </w:rPr>
              <w:t xml:space="preserve">Ref.: </w:t>
            </w:r>
            <w:hyperlink r:id="rId17" w:history="1">
              <w:r w:rsidRPr="007B0BF3">
                <w:rPr>
                  <w:rFonts w:eastAsia="Times New Roman" w:cstheme="minorHAnsi"/>
                  <w:color w:val="0563C1" w:themeColor="hyperlink"/>
                  <w:sz w:val="14"/>
                  <w:szCs w:val="14"/>
                  <w:u w:val="single"/>
                  <w:lang w:eastAsia="es-ES"/>
                </w:rPr>
                <w:t>http://www.ine.es/jaxiT3/Tabla.htm?t=9663&amp;L=0</w:t>
              </w:r>
            </w:hyperlink>
          </w:p>
        </w:tc>
      </w:tr>
    </w:tbl>
    <w:p w:rsidR="007B0BF3" w:rsidRPr="007B0BF3" w:rsidRDefault="007B0BF3" w:rsidP="007B0BF3">
      <w:pPr>
        <w:spacing w:after="0" w:line="160" w:lineRule="exact"/>
        <w:rPr>
          <w:rFonts w:eastAsia="Times New Roman" w:cstheme="minorHAnsi"/>
          <w:sz w:val="14"/>
          <w:szCs w:val="14"/>
          <w:lang w:eastAsia="es-ES"/>
        </w:rPr>
      </w:pPr>
      <w:r w:rsidRPr="007B0BF3">
        <w:rPr>
          <w:rFonts w:eastAsia="Times New Roman" w:cstheme="minorHAnsi"/>
          <w:b/>
          <w:i/>
          <w:sz w:val="14"/>
          <w:szCs w:val="14"/>
          <w:lang w:eastAsia="es-ES"/>
        </w:rPr>
        <w:t xml:space="preserve">[] </w:t>
      </w:r>
      <w:r w:rsidRPr="007B0BF3">
        <w:rPr>
          <w:rFonts w:eastAsia="Times New Roman" w:cstheme="minorHAnsi"/>
          <w:sz w:val="14"/>
          <w:szCs w:val="14"/>
          <w:lang w:eastAsia="es-ES"/>
        </w:rPr>
        <w:t>El nombre entre corchetes es la denominación asignada por la fuente al indicador.</w:t>
      </w:r>
    </w:p>
    <w:p w:rsidR="007B0BF3" w:rsidRPr="007B0BF3" w:rsidRDefault="007B0BF3" w:rsidP="007B0BF3">
      <w:pPr>
        <w:spacing w:after="0" w:line="160" w:lineRule="exact"/>
        <w:rPr>
          <w:rFonts w:cstheme="minorHAnsi"/>
          <w:sz w:val="14"/>
          <w:szCs w:val="14"/>
        </w:rPr>
      </w:pPr>
      <w:r w:rsidRPr="007B0BF3">
        <w:rPr>
          <w:rFonts w:eastAsia="Times New Roman" w:cstheme="minorHAnsi"/>
          <w:b/>
          <w:sz w:val="14"/>
          <w:szCs w:val="14"/>
          <w:vertAlign w:val="superscript"/>
          <w:lang w:eastAsia="es-ES"/>
        </w:rPr>
        <w:t>a</w:t>
      </w:r>
      <w:r w:rsidRPr="007B0BF3">
        <w:rPr>
          <w:rFonts w:eastAsia="Times New Roman" w:cstheme="minorHAnsi"/>
          <w:sz w:val="14"/>
          <w:szCs w:val="14"/>
          <w:lang w:eastAsia="es-ES"/>
        </w:rPr>
        <w:t xml:space="preserve"> Consumo humano directo se refiera a la ingestión de bebidas alcohólicas como alimento, por placer o por otra razón. Los productos intermedios son aquellas bebidas alcohólicas con un contenido alcohólico de</w:t>
      </w:r>
      <w:r w:rsidRPr="007B0BF3">
        <w:rPr>
          <w:rFonts w:cstheme="minorHAnsi"/>
          <w:sz w:val="14"/>
          <w:szCs w:val="14"/>
        </w:rPr>
        <w:t xml:space="preserve"> 1,2%-22% ABV no incluidas en las categorías de cerveza, vino y bebidas fermentadas como el vermut, el jerez o el oporto.</w:t>
      </w:r>
    </w:p>
    <w:p w:rsidR="007B0BF3" w:rsidRPr="007B0BF3" w:rsidRDefault="007B0BF3" w:rsidP="007B0BF3">
      <w:pPr>
        <w:spacing w:after="0" w:line="160" w:lineRule="exact"/>
        <w:rPr>
          <w:rFonts w:eastAsia="Times New Roman" w:cstheme="minorHAnsi"/>
          <w:sz w:val="14"/>
          <w:szCs w:val="14"/>
          <w:lang w:eastAsia="es-ES"/>
        </w:rPr>
      </w:pPr>
      <w:r w:rsidRPr="007B0BF3">
        <w:rPr>
          <w:rFonts w:eastAsia="Times New Roman" w:cstheme="minorHAnsi"/>
          <w:b/>
          <w:sz w:val="14"/>
          <w:szCs w:val="14"/>
          <w:vertAlign w:val="superscript"/>
          <w:lang w:eastAsia="es-ES"/>
        </w:rPr>
        <w:t>b</w:t>
      </w:r>
      <w:r w:rsidRPr="007B0BF3">
        <w:rPr>
          <w:rFonts w:eastAsia="Times New Roman" w:cstheme="minorHAnsi"/>
          <w:b/>
          <w:sz w:val="14"/>
          <w:szCs w:val="14"/>
          <w:lang w:eastAsia="es-ES"/>
        </w:rPr>
        <w:t xml:space="preserve"> </w:t>
      </w:r>
      <w:r w:rsidRPr="007B0BF3">
        <w:rPr>
          <w:rFonts w:eastAsia="Times New Roman" w:cstheme="minorHAnsi"/>
          <w:sz w:val="14"/>
          <w:szCs w:val="14"/>
          <w:lang w:eastAsia="es-ES"/>
        </w:rPr>
        <w:t>Los establecimientos de hostelería/restauración incluyen bares, cafés, hoteles, hostales, restaurantes, etc. Las instituciones con servicio de catering incluyen cantinas o comedores para el personal,  hogares de ancianos, escuelas, colegios, hospitales, establecimientos militares o prisiones.</w:t>
      </w:r>
    </w:p>
    <w:p w:rsidR="007B0BF3" w:rsidRPr="007B0BF3" w:rsidRDefault="007B0BF3" w:rsidP="007B0BF3">
      <w:pPr>
        <w:spacing w:after="0" w:line="160" w:lineRule="exact"/>
        <w:rPr>
          <w:rFonts w:eastAsia="Times New Roman" w:cs="Times New Roman"/>
          <w:sz w:val="16"/>
          <w:szCs w:val="14"/>
          <w:lang w:eastAsia="es-ES"/>
        </w:rPr>
      </w:pPr>
      <w:proofErr w:type="gramStart"/>
      <w:r w:rsidRPr="007B0BF3">
        <w:rPr>
          <w:rFonts w:eastAsia="Times New Roman" w:cstheme="minorHAnsi"/>
          <w:b/>
          <w:sz w:val="14"/>
          <w:szCs w:val="14"/>
          <w:vertAlign w:val="superscript"/>
          <w:lang w:eastAsia="es-ES"/>
        </w:rPr>
        <w:t>c</w:t>
      </w:r>
      <w:proofErr w:type="gramEnd"/>
      <w:r w:rsidRPr="007B0BF3">
        <w:rPr>
          <w:rFonts w:eastAsia="Times New Roman" w:cstheme="minorHAnsi"/>
          <w:sz w:val="14"/>
          <w:szCs w:val="14"/>
          <w:lang w:eastAsia="es-ES"/>
        </w:rPr>
        <w:t xml:space="preserve"> Para estimar el número de visitas de excursionistas españoles al extranjero también se utilizaron las estadísticas francesas y portuguesas sobre llegadas de excursionistas extranjeros, 2005-2011.. Ref.: </w:t>
      </w:r>
      <w:proofErr w:type="spellStart"/>
      <w:r w:rsidRPr="007B0BF3">
        <w:rPr>
          <w:rFonts w:eastAsia="Times New Roman" w:cstheme="minorHAnsi"/>
          <w:sz w:val="14"/>
          <w:szCs w:val="14"/>
          <w:lang w:eastAsia="es-ES"/>
        </w:rPr>
        <w:t>Direction</w:t>
      </w:r>
      <w:proofErr w:type="spellEnd"/>
      <w:r w:rsidRPr="007B0BF3">
        <w:rPr>
          <w:rFonts w:eastAsia="Times New Roman" w:cstheme="minorHAnsi"/>
          <w:sz w:val="14"/>
          <w:szCs w:val="14"/>
          <w:lang w:eastAsia="es-ES"/>
        </w:rPr>
        <w:t xml:space="preserve"> Générale des </w:t>
      </w:r>
      <w:proofErr w:type="spellStart"/>
      <w:r w:rsidRPr="007B0BF3">
        <w:rPr>
          <w:rFonts w:eastAsia="Times New Roman" w:cstheme="minorHAnsi"/>
          <w:sz w:val="14"/>
          <w:szCs w:val="14"/>
          <w:lang w:eastAsia="es-ES"/>
        </w:rPr>
        <w:t>Entreprises</w:t>
      </w:r>
      <w:proofErr w:type="spellEnd"/>
      <w:r w:rsidRPr="007B0BF3">
        <w:rPr>
          <w:rFonts w:eastAsia="Times New Roman" w:cstheme="minorHAnsi"/>
          <w:sz w:val="14"/>
          <w:szCs w:val="14"/>
          <w:lang w:eastAsia="es-ES"/>
        </w:rPr>
        <w:t xml:space="preserve">. </w:t>
      </w:r>
      <w:proofErr w:type="spellStart"/>
      <w:r w:rsidRPr="007B0BF3">
        <w:rPr>
          <w:rFonts w:eastAsia="Times New Roman" w:cstheme="minorHAnsi"/>
          <w:sz w:val="14"/>
          <w:szCs w:val="14"/>
          <w:lang w:eastAsia="es-ES"/>
        </w:rPr>
        <w:t>Etudes</w:t>
      </w:r>
      <w:proofErr w:type="spellEnd"/>
      <w:r w:rsidRPr="007B0BF3">
        <w:rPr>
          <w:rFonts w:eastAsia="Times New Roman" w:cstheme="minorHAnsi"/>
          <w:sz w:val="14"/>
          <w:szCs w:val="14"/>
          <w:lang w:eastAsia="es-ES"/>
        </w:rPr>
        <w:t xml:space="preserve"> et </w:t>
      </w:r>
      <w:proofErr w:type="spellStart"/>
      <w:r w:rsidRPr="007B0BF3">
        <w:rPr>
          <w:rFonts w:eastAsia="Times New Roman" w:cstheme="minorHAnsi"/>
          <w:sz w:val="14"/>
          <w:szCs w:val="14"/>
          <w:lang w:eastAsia="es-ES"/>
        </w:rPr>
        <w:t>statistiques</w:t>
      </w:r>
      <w:proofErr w:type="spellEnd"/>
      <w:r w:rsidRPr="007B0BF3">
        <w:rPr>
          <w:rFonts w:eastAsia="Times New Roman" w:cstheme="minorHAnsi"/>
          <w:sz w:val="14"/>
          <w:szCs w:val="14"/>
          <w:lang w:eastAsia="es-ES"/>
        </w:rPr>
        <w:t xml:space="preserve">. Memento du </w:t>
      </w:r>
      <w:proofErr w:type="spellStart"/>
      <w:r w:rsidRPr="007B0BF3">
        <w:rPr>
          <w:rFonts w:eastAsia="Times New Roman" w:cstheme="minorHAnsi"/>
          <w:sz w:val="14"/>
          <w:szCs w:val="14"/>
          <w:lang w:eastAsia="es-ES"/>
        </w:rPr>
        <w:t>Tourisme</w:t>
      </w:r>
      <w:proofErr w:type="spellEnd"/>
      <w:r w:rsidRPr="007B0BF3">
        <w:rPr>
          <w:rFonts w:eastAsia="Times New Roman" w:cstheme="minorHAnsi"/>
          <w:sz w:val="14"/>
          <w:szCs w:val="14"/>
          <w:lang w:eastAsia="es-ES"/>
        </w:rPr>
        <w:t xml:space="preserve">. </w:t>
      </w:r>
      <w:hyperlink r:id="rId18" w:history="1">
        <w:r w:rsidRPr="007B0BF3">
          <w:rPr>
            <w:rFonts w:eastAsia="Times New Roman" w:cstheme="minorHAnsi"/>
            <w:color w:val="0563C1" w:themeColor="hyperlink"/>
            <w:sz w:val="14"/>
            <w:szCs w:val="14"/>
            <w:u w:val="single"/>
            <w:lang w:eastAsia="es-ES"/>
          </w:rPr>
          <w:t>http://www.entreprises.gouv.fr/etudes-et-statistiques/statistiques-du-tourisme/donnees-cles/memento-du-tourisme</w:t>
        </w:r>
      </w:hyperlink>
      <w:r w:rsidRPr="007B0BF3">
        <w:rPr>
          <w:rFonts w:eastAsia="Times New Roman" w:cstheme="minorHAnsi"/>
          <w:sz w:val="14"/>
          <w:szCs w:val="14"/>
          <w:lang w:eastAsia="es-ES"/>
        </w:rPr>
        <w:t xml:space="preserve">. </w:t>
      </w:r>
      <w:proofErr w:type="spellStart"/>
      <w:r w:rsidRPr="007B0BF3">
        <w:rPr>
          <w:rFonts w:eastAsia="Times New Roman" w:cstheme="minorHAnsi"/>
          <w:sz w:val="14"/>
          <w:szCs w:val="14"/>
          <w:lang w:eastAsia="es-ES"/>
        </w:rPr>
        <w:t>Ref.</w:t>
      </w:r>
      <w:proofErr w:type="gramStart"/>
      <w:r w:rsidRPr="007B0BF3">
        <w:rPr>
          <w:rFonts w:eastAsia="Times New Roman" w:cstheme="minorHAnsi"/>
          <w:sz w:val="14"/>
          <w:szCs w:val="14"/>
          <w:lang w:eastAsia="es-ES"/>
        </w:rPr>
        <w:t>:Turismo</w:t>
      </w:r>
      <w:proofErr w:type="spellEnd"/>
      <w:proofErr w:type="gramEnd"/>
      <w:r w:rsidRPr="007B0BF3">
        <w:rPr>
          <w:rFonts w:eastAsia="Times New Roman" w:cstheme="minorHAnsi"/>
          <w:sz w:val="14"/>
          <w:szCs w:val="14"/>
          <w:lang w:eastAsia="es-ES"/>
        </w:rPr>
        <w:t xml:space="preserve"> de Portugal. </w:t>
      </w:r>
      <w:proofErr w:type="spellStart"/>
      <w:r w:rsidRPr="007B0BF3">
        <w:rPr>
          <w:rFonts w:eastAsia="Times New Roman" w:cstheme="minorHAnsi"/>
          <w:sz w:val="14"/>
          <w:szCs w:val="14"/>
          <w:lang w:eastAsia="es-ES"/>
        </w:rPr>
        <w:t>Anuário</w:t>
      </w:r>
      <w:proofErr w:type="spellEnd"/>
      <w:r w:rsidRPr="007B0BF3">
        <w:rPr>
          <w:rFonts w:eastAsia="Times New Roman" w:cstheme="minorHAnsi"/>
          <w:sz w:val="14"/>
          <w:szCs w:val="14"/>
          <w:lang w:eastAsia="es-ES"/>
        </w:rPr>
        <w:t xml:space="preserve"> das </w:t>
      </w:r>
      <w:proofErr w:type="spellStart"/>
      <w:r w:rsidRPr="007B0BF3">
        <w:rPr>
          <w:rFonts w:eastAsia="Times New Roman" w:cstheme="minorHAnsi"/>
          <w:sz w:val="14"/>
          <w:szCs w:val="14"/>
          <w:lang w:eastAsia="es-ES"/>
        </w:rPr>
        <w:t>estatísticas</w:t>
      </w:r>
      <w:proofErr w:type="spellEnd"/>
      <w:r w:rsidRPr="007B0BF3">
        <w:rPr>
          <w:rFonts w:eastAsia="Times New Roman" w:cstheme="minorHAnsi"/>
          <w:sz w:val="14"/>
          <w:szCs w:val="14"/>
          <w:lang w:eastAsia="es-ES"/>
        </w:rPr>
        <w:t xml:space="preserve"> do turismo. </w:t>
      </w:r>
      <w:hyperlink r:id="rId19" w:history="1">
        <w:r w:rsidRPr="007B0BF3">
          <w:rPr>
            <w:rFonts w:eastAsia="Times New Roman" w:cstheme="minorHAnsi"/>
            <w:color w:val="0563C1" w:themeColor="hyperlink"/>
            <w:sz w:val="14"/>
            <w:szCs w:val="14"/>
            <w:u w:val="single"/>
            <w:lang w:eastAsia="es-ES"/>
          </w:rPr>
          <w:t>http://www.turismodeportugal.pt/Portugu%C3%AAs/ProTurismo/estat%C3%ADsticas/an%C3%A1lisesestat%C3%ADsticas/oturismoem/Pages/OTurismoem.aspx</w:t>
        </w:r>
      </w:hyperlink>
      <w:r w:rsidRPr="007B0BF3">
        <w:rPr>
          <w:rFonts w:eastAsia="Times New Roman" w:cs="Times New Roman"/>
          <w:sz w:val="14"/>
          <w:szCs w:val="14"/>
          <w:lang w:eastAsia="es-ES"/>
        </w:rPr>
        <w:t>.</w:t>
      </w:r>
    </w:p>
    <w:sectPr w:rsidR="007B0BF3" w:rsidRPr="007B0BF3" w:rsidSect="007B0BF3">
      <w:pgSz w:w="11906" w:h="16838"/>
      <w:pgMar w:top="1135" w:right="1274"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F3"/>
    <w:rsid w:val="00051D96"/>
    <w:rsid w:val="00257C58"/>
    <w:rsid w:val="003B685E"/>
    <w:rsid w:val="007B0BF3"/>
    <w:rsid w:val="007B295A"/>
    <w:rsid w:val="00952405"/>
    <w:rsid w:val="00A82588"/>
    <w:rsid w:val="00B131F3"/>
    <w:rsid w:val="00EC6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C609F-B33A-4B35-AA5A-51DAD021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B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9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gho/data/node.main.GISAH?lang=en" TargetMode="External"/><Relationship Id="rId13" Type="http://schemas.openxmlformats.org/officeDocument/2006/relationships/hyperlink" Target="http://apps.who.int/gho/data/node.main.GISAH?lang=en" TargetMode="External"/><Relationship Id="rId18" Type="http://schemas.openxmlformats.org/officeDocument/2006/relationships/hyperlink" Target="http://www.entreprises.gouv.fr/etudes-et-statistiques/statistiques-du-tourisme/donnees-cles/memento-du-tourism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c.europa.eu/eurostat/web/agriculture/data/database" TargetMode="External"/><Relationship Id="rId12" Type="http://schemas.openxmlformats.org/officeDocument/2006/relationships/hyperlink" Target="http://estadisticas.tourspain.es/es-ES/turismobase/Paginas/default.aspx" TargetMode="External"/><Relationship Id="rId17" Type="http://schemas.openxmlformats.org/officeDocument/2006/relationships/hyperlink" Target="http://www.ine.es/jaxiT3/Tabla.htm?t=9663&amp;L=0" TargetMode="External"/><Relationship Id="rId2" Type="http://schemas.openxmlformats.org/officeDocument/2006/relationships/settings" Target="settings.xml"/><Relationship Id="rId16" Type="http://schemas.openxmlformats.org/officeDocument/2006/relationships/hyperlink" Target="http://www.rand.org/content/dam/rand/pubs/technical_reports/2009/RAND_TR689.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genciatributaria.es/AEAT.internet/Inicio/Aduanas_e_Impuestos_Especiales/Impuestos_Especiales/Impuestos_Especiales.shtml" TargetMode="External"/><Relationship Id="rId11" Type="http://schemas.openxmlformats.org/officeDocument/2006/relationships/hyperlink" Target="http://www.magrama.gob.es/es/estadistica/temas/estadisticas-alimentacion/consumo-alimentario/" TargetMode="External"/><Relationship Id="rId5" Type="http://schemas.openxmlformats.org/officeDocument/2006/relationships/hyperlink" Target="https://www.mscbs.gob.es/estadEstudios/estadisticas/encuestaNacional/" TargetMode="External"/><Relationship Id="rId15" Type="http://schemas.openxmlformats.org/officeDocument/2006/relationships/hyperlink" Target="http://icp.worldbank.org/icp/SelectElements.aspx?r=-1&amp;ds=0&amp;y=1&amp;ws=3" TargetMode="External"/><Relationship Id="rId10" Type="http://schemas.openxmlformats.org/officeDocument/2006/relationships/hyperlink" Target="http://www.fao.org/infoods/infoods/tables-and-databases/faoinfoods-databases/en/" TargetMode="External"/><Relationship Id="rId19" Type="http://schemas.openxmlformats.org/officeDocument/2006/relationships/hyperlink" Target="http://www.turismodeportugal.pt/Portugu%C3%AAs/ProTurismo/estat%C3%ADsticas/an%C3%A1lisesestat%C3%ADsticas/oturismoem/Pages/OTurismoem.aspx" TargetMode="External"/><Relationship Id="rId4" Type="http://schemas.openxmlformats.org/officeDocument/2006/relationships/hyperlink" Target="http://www.ine.es/inebmenu/mnu_salud.htm" TargetMode="External"/><Relationship Id="rId9" Type="http://schemas.openxmlformats.org/officeDocument/2006/relationships/hyperlink" Target="http://faostat3.fao.org/download/FB/CC/E" TargetMode="External"/><Relationship Id="rId14" Type="http://schemas.openxmlformats.org/officeDocument/2006/relationships/hyperlink" Target="http://ec.europa.eu/eurostat/web/purchasing-power-parities/data/databa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2835</Words>
  <Characters>15596</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Barrio Anta</dc:creator>
  <cp:keywords/>
  <dc:description/>
  <cp:lastModifiedBy>HA-React</cp:lastModifiedBy>
  <cp:revision>2</cp:revision>
  <dcterms:created xsi:type="dcterms:W3CDTF">2020-08-12T08:46:00Z</dcterms:created>
  <dcterms:modified xsi:type="dcterms:W3CDTF">2020-08-12T08:46:00Z</dcterms:modified>
</cp:coreProperties>
</file>